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0674D" w:rsidRDefault="00395ADF">
      <w:pPr>
        <w:jc w:val="center"/>
        <w:rPr>
          <w:b/>
          <w:bCs/>
          <w:spacing w:val="20"/>
          <w:sz w:val="28"/>
          <w:szCs w:val="28"/>
        </w:rPr>
      </w:pPr>
      <w:r>
        <w:rPr>
          <w:b/>
          <w:bCs/>
          <w:spacing w:val="20"/>
          <w:sz w:val="28"/>
          <w:szCs w:val="28"/>
        </w:rPr>
        <w:t>Совет депутатов Богородского муниципального округа</w:t>
      </w:r>
    </w:p>
    <w:p w:rsidR="00E0674D" w:rsidRDefault="00395ADF">
      <w:pPr>
        <w:jc w:val="center"/>
        <w:rPr>
          <w:b/>
          <w:bCs/>
          <w:spacing w:val="20"/>
          <w:sz w:val="28"/>
          <w:szCs w:val="28"/>
        </w:rPr>
      </w:pPr>
      <w:r>
        <w:rPr>
          <w:b/>
          <w:bCs/>
          <w:spacing w:val="20"/>
          <w:sz w:val="28"/>
          <w:szCs w:val="28"/>
        </w:rPr>
        <w:t>Нижегородской области</w:t>
      </w:r>
    </w:p>
    <w:p w:rsidR="00E0674D" w:rsidRDefault="00E0674D">
      <w:pPr>
        <w:jc w:val="center"/>
        <w:rPr>
          <w:b/>
          <w:bCs/>
          <w:spacing w:val="20"/>
          <w:sz w:val="28"/>
          <w:szCs w:val="28"/>
        </w:rPr>
      </w:pPr>
    </w:p>
    <w:p w:rsidR="00E0674D" w:rsidRDefault="00395ADF">
      <w:pPr>
        <w:jc w:val="center"/>
        <w:rPr>
          <w:b/>
          <w:bCs/>
          <w:spacing w:val="20"/>
          <w:sz w:val="44"/>
          <w:szCs w:val="44"/>
        </w:rPr>
      </w:pPr>
      <w:r>
        <w:rPr>
          <w:b/>
          <w:bCs/>
          <w:spacing w:val="20"/>
          <w:sz w:val="44"/>
          <w:szCs w:val="44"/>
        </w:rPr>
        <w:t>Р Е Ш Е Н И Е</w:t>
      </w:r>
    </w:p>
    <w:p w:rsidR="00E0674D" w:rsidRDefault="00E0674D">
      <w:pPr>
        <w:jc w:val="center"/>
        <w:rPr>
          <w:sz w:val="28"/>
          <w:szCs w:val="28"/>
        </w:rPr>
      </w:pPr>
    </w:p>
    <w:p w:rsidR="00AF24E4" w:rsidRDefault="00AF24E4">
      <w:pPr>
        <w:jc w:val="center"/>
        <w:rPr>
          <w:sz w:val="28"/>
          <w:szCs w:val="28"/>
        </w:rPr>
      </w:pPr>
    </w:p>
    <w:p w:rsidR="00AD1BD5" w:rsidRPr="00F8052B" w:rsidRDefault="00324148" w:rsidP="00AD1BD5">
      <w:pPr>
        <w:jc w:val="center"/>
        <w:rPr>
          <w:sz w:val="28"/>
          <w:szCs w:val="28"/>
        </w:rPr>
      </w:pPr>
      <w:r>
        <w:rPr>
          <w:sz w:val="28"/>
          <w:szCs w:val="28"/>
        </w:rPr>
        <w:t>11 декабря 2025 года</w:t>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7D7FC2">
        <w:rPr>
          <w:sz w:val="28"/>
          <w:szCs w:val="28"/>
        </w:rPr>
        <w:tab/>
      </w:r>
      <w:r w:rsidR="00AD1BD5" w:rsidRPr="00F8052B">
        <w:rPr>
          <w:sz w:val="28"/>
          <w:szCs w:val="28"/>
        </w:rPr>
        <w:t>№</w:t>
      </w:r>
      <w:r>
        <w:rPr>
          <w:sz w:val="28"/>
          <w:szCs w:val="28"/>
        </w:rPr>
        <w:t xml:space="preserve"> 148</w:t>
      </w:r>
    </w:p>
    <w:p w:rsidR="00E0674D" w:rsidRDefault="00E0674D" w:rsidP="00590B4A">
      <w:pPr>
        <w:jc w:val="center"/>
        <w:rPr>
          <w:sz w:val="28"/>
          <w:szCs w:val="28"/>
        </w:rPr>
      </w:pPr>
    </w:p>
    <w:p w:rsidR="00AF24E4" w:rsidRDefault="00AF24E4" w:rsidP="00590B4A">
      <w:pPr>
        <w:jc w:val="center"/>
        <w:rPr>
          <w:sz w:val="28"/>
          <w:szCs w:val="28"/>
        </w:rPr>
      </w:pPr>
    </w:p>
    <w:p w:rsidR="009832BB" w:rsidRDefault="00590B4A" w:rsidP="00590B4A">
      <w:pPr>
        <w:jc w:val="center"/>
        <w:rPr>
          <w:sz w:val="28"/>
          <w:szCs w:val="28"/>
        </w:rPr>
      </w:pPr>
      <w:r w:rsidRPr="00B3380E">
        <w:rPr>
          <w:b/>
          <w:bCs/>
          <w:sz w:val="28"/>
          <w:szCs w:val="28"/>
        </w:rPr>
        <w:t>О</w:t>
      </w:r>
      <w:r>
        <w:rPr>
          <w:b/>
          <w:bCs/>
          <w:sz w:val="28"/>
          <w:szCs w:val="28"/>
        </w:rPr>
        <w:t> </w:t>
      </w:r>
      <w:r w:rsidRPr="00B3380E">
        <w:rPr>
          <w:b/>
          <w:bCs/>
          <w:sz w:val="28"/>
          <w:szCs w:val="28"/>
        </w:rPr>
        <w:t>бюджете Богородского муниципального округа Нижегородской области на 202</w:t>
      </w:r>
      <w:r w:rsidR="005D7996">
        <w:rPr>
          <w:b/>
          <w:bCs/>
          <w:sz w:val="28"/>
          <w:szCs w:val="28"/>
        </w:rPr>
        <w:t>6</w:t>
      </w:r>
      <w:r w:rsidRPr="00B3380E">
        <w:rPr>
          <w:b/>
          <w:bCs/>
          <w:sz w:val="28"/>
          <w:szCs w:val="28"/>
        </w:rPr>
        <w:t xml:space="preserve"> год и на плановый период 202</w:t>
      </w:r>
      <w:r w:rsidR="005D7996">
        <w:rPr>
          <w:b/>
          <w:bCs/>
          <w:sz w:val="28"/>
          <w:szCs w:val="28"/>
        </w:rPr>
        <w:t>7</w:t>
      </w:r>
      <w:r w:rsidRPr="00B3380E">
        <w:rPr>
          <w:b/>
          <w:bCs/>
          <w:sz w:val="28"/>
          <w:szCs w:val="28"/>
        </w:rPr>
        <w:t xml:space="preserve"> и 202</w:t>
      </w:r>
      <w:r w:rsidR="005D7996">
        <w:rPr>
          <w:b/>
          <w:bCs/>
          <w:sz w:val="28"/>
          <w:szCs w:val="28"/>
        </w:rPr>
        <w:t>8</w:t>
      </w:r>
      <w:r w:rsidRPr="00B3380E">
        <w:rPr>
          <w:b/>
          <w:bCs/>
          <w:sz w:val="28"/>
          <w:szCs w:val="28"/>
        </w:rPr>
        <w:t xml:space="preserve"> годов</w:t>
      </w:r>
    </w:p>
    <w:p w:rsidR="00E0674D" w:rsidRDefault="00E0674D" w:rsidP="007D7FC2">
      <w:pPr>
        <w:pStyle w:val="ConsNormal"/>
        <w:ind w:firstLine="709"/>
        <w:jc w:val="both"/>
        <w:rPr>
          <w:sz w:val="28"/>
          <w:szCs w:val="28"/>
        </w:rPr>
      </w:pPr>
    </w:p>
    <w:p w:rsidR="00824E59" w:rsidRDefault="00824E59" w:rsidP="006A619F">
      <w:pPr>
        <w:pStyle w:val="ConsNormal"/>
        <w:ind w:firstLine="709"/>
        <w:jc w:val="both"/>
        <w:rPr>
          <w:rFonts w:ascii="Times New Roman" w:hAnsi="Times New Roman" w:cs="Times New Roman"/>
          <w:b/>
          <w:bCs/>
          <w:sz w:val="28"/>
          <w:szCs w:val="28"/>
        </w:rPr>
      </w:pPr>
    </w:p>
    <w:p w:rsidR="00824E59" w:rsidRDefault="00824E59" w:rsidP="006A619F">
      <w:pPr>
        <w:pStyle w:val="ConsNormal"/>
        <w:ind w:firstLine="709"/>
        <w:jc w:val="both"/>
        <w:rPr>
          <w:rFonts w:ascii="Times New Roman" w:hAnsi="Times New Roman" w:cs="Times New Roman"/>
          <w:b/>
          <w:bCs/>
          <w:sz w:val="28"/>
          <w:szCs w:val="28"/>
        </w:rPr>
      </w:pPr>
    </w:p>
    <w:p w:rsidR="007D7FC2" w:rsidRDefault="007D7FC2" w:rsidP="007D7FC2">
      <w:pPr>
        <w:ind w:firstLine="709"/>
        <w:jc w:val="both"/>
        <w:rPr>
          <w:sz w:val="28"/>
          <w:szCs w:val="28"/>
        </w:rPr>
      </w:pPr>
      <w:r>
        <w:rPr>
          <w:sz w:val="28"/>
          <w:szCs w:val="28"/>
        </w:rPr>
        <w:t>Рассмотрев основные характеристики бюджета Богородского муниципального округа Нижегородской области (далее – бюджет муниципального округа) на 2026 год и на плановый период 2027 и 2028 годов, в соответствии со статьями 185, 187 Бюджетного кодекса Российской Федерации, Положением о бюджетном процессе в Богородском муниципальном округе Нижегородской области (далее – Богородский муниципальный округ), утвержденным решением Совета депутатов Богородского муниципального округа Нижегородской области от 09.10.2020 № 26,</w:t>
      </w:r>
    </w:p>
    <w:p w:rsidR="007D7FC2" w:rsidRDefault="007D7FC2" w:rsidP="007D7FC2">
      <w:pPr>
        <w:jc w:val="both"/>
        <w:rPr>
          <w:sz w:val="28"/>
          <w:szCs w:val="28"/>
        </w:rPr>
      </w:pPr>
      <w:r>
        <w:rPr>
          <w:sz w:val="28"/>
          <w:szCs w:val="28"/>
        </w:rPr>
        <w:t>Совет депутатов</w:t>
      </w:r>
      <w:r>
        <w:rPr>
          <w:b/>
          <w:sz w:val="28"/>
          <w:szCs w:val="28"/>
        </w:rPr>
        <w:t xml:space="preserve"> р е ш и л:</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p>
    <w:p w:rsidR="007D7FC2" w:rsidRDefault="007D7FC2" w:rsidP="007D7FC2">
      <w:pPr>
        <w:ind w:firstLine="709"/>
        <w:jc w:val="both"/>
      </w:pPr>
      <w:r>
        <w:rPr>
          <w:sz w:val="28"/>
          <w:szCs w:val="28"/>
        </w:rPr>
        <w:t>1. Утвердить основные характеристики бюджета муниципального округа на 2026 год:</w:t>
      </w:r>
    </w:p>
    <w:p w:rsidR="007D7FC2" w:rsidRDefault="007D7FC2" w:rsidP="007D7FC2">
      <w:pPr>
        <w:ind w:firstLine="709"/>
        <w:jc w:val="both"/>
        <w:rPr>
          <w:sz w:val="28"/>
          <w:szCs w:val="28"/>
        </w:rPr>
      </w:pPr>
      <w:r>
        <w:rPr>
          <w:sz w:val="28"/>
          <w:szCs w:val="28"/>
        </w:rPr>
        <w:t>1) общий объем доходов в сумме 3 629 377,80 тыс. рублей;</w:t>
      </w:r>
    </w:p>
    <w:p w:rsidR="007D7FC2" w:rsidRDefault="007D7FC2" w:rsidP="007D7FC2">
      <w:pPr>
        <w:ind w:firstLine="709"/>
        <w:jc w:val="both"/>
        <w:rPr>
          <w:sz w:val="28"/>
          <w:szCs w:val="28"/>
        </w:rPr>
      </w:pPr>
      <w:r>
        <w:rPr>
          <w:sz w:val="28"/>
          <w:szCs w:val="28"/>
        </w:rPr>
        <w:t>2) общий объем расходов в сумме 3 689 377,80 тыс. рублей;</w:t>
      </w:r>
    </w:p>
    <w:p w:rsidR="007D7FC2" w:rsidRDefault="007D7FC2" w:rsidP="007D7FC2">
      <w:pPr>
        <w:ind w:firstLine="709"/>
        <w:jc w:val="both"/>
      </w:pPr>
      <w:r>
        <w:rPr>
          <w:sz w:val="28"/>
          <w:szCs w:val="28"/>
        </w:rPr>
        <w:t>3) размер дефицита бюджета муниципального округа в сумме 60 000,00 тыс. рублей.</w:t>
      </w:r>
    </w:p>
    <w:p w:rsidR="007D7FC2" w:rsidRDefault="007D7FC2" w:rsidP="007D7FC2">
      <w:pPr>
        <w:ind w:firstLine="709"/>
        <w:jc w:val="both"/>
        <w:rPr>
          <w:sz w:val="28"/>
          <w:szCs w:val="28"/>
        </w:rPr>
      </w:pPr>
      <w:r>
        <w:rPr>
          <w:sz w:val="28"/>
          <w:szCs w:val="28"/>
        </w:rPr>
        <w:t>2. Утвердить основные характеристики бюджета муниципального округа на плановый период 2027 и 2028 годов:</w:t>
      </w:r>
    </w:p>
    <w:p w:rsidR="007D7FC2" w:rsidRDefault="007D7FC2" w:rsidP="007D7FC2">
      <w:pPr>
        <w:ind w:firstLine="709"/>
        <w:jc w:val="both"/>
        <w:rPr>
          <w:sz w:val="28"/>
          <w:szCs w:val="28"/>
        </w:rPr>
      </w:pPr>
      <w:r>
        <w:rPr>
          <w:sz w:val="28"/>
          <w:szCs w:val="28"/>
        </w:rPr>
        <w:t>1) общий объем доходов на 2027 год в сумме 3 367 804,70 тыс. рублей, на 2028 год в сумме 3 516 960,50 тыс. рублей;</w:t>
      </w:r>
    </w:p>
    <w:p w:rsidR="007D7FC2" w:rsidRDefault="007D7FC2" w:rsidP="007D7FC2">
      <w:pPr>
        <w:ind w:firstLine="709"/>
        <w:jc w:val="both"/>
        <w:rPr>
          <w:sz w:val="28"/>
          <w:szCs w:val="28"/>
        </w:rPr>
      </w:pPr>
      <w:r>
        <w:rPr>
          <w:sz w:val="28"/>
          <w:szCs w:val="28"/>
        </w:rPr>
        <w:t>2) общий объем расходов на 2027 год в сумме 3 347 804,70 тыс. рублей, в том числе условно утверждаемые расходы в сумме 2</w:t>
      </w:r>
      <w:r w:rsidRPr="00C156CB">
        <w:rPr>
          <w:sz w:val="28"/>
          <w:szCs w:val="28"/>
        </w:rPr>
        <w:t>00 000,00</w:t>
      </w:r>
      <w:r>
        <w:rPr>
          <w:sz w:val="28"/>
          <w:szCs w:val="28"/>
        </w:rPr>
        <w:t xml:space="preserve"> тыс. рублей, на 2028 год в сумме 3 496 960,50 тыс. рублей, в том числе условно утверждаемые расходы в сумме 300</w:t>
      </w:r>
      <w:r w:rsidRPr="00C156CB">
        <w:rPr>
          <w:sz w:val="28"/>
          <w:szCs w:val="28"/>
        </w:rPr>
        <w:t> 000,00</w:t>
      </w:r>
      <w:r>
        <w:rPr>
          <w:sz w:val="28"/>
          <w:szCs w:val="28"/>
        </w:rPr>
        <w:t xml:space="preserve"> тыс. рублей;</w:t>
      </w:r>
    </w:p>
    <w:p w:rsidR="007D7FC2" w:rsidRDefault="007D7FC2" w:rsidP="007D7FC2">
      <w:pPr>
        <w:ind w:firstLine="709"/>
        <w:jc w:val="both"/>
      </w:pPr>
      <w:r>
        <w:rPr>
          <w:sz w:val="28"/>
          <w:szCs w:val="28"/>
        </w:rPr>
        <w:t>3) размер профицита бюджета муниципального округа на 2027 год в сумме 20 000,00 тыс. рублей, размер профицита бюджета муниципального округа на 2028 год в сумме 20 000,00 тыс. рублей.</w:t>
      </w:r>
    </w:p>
    <w:p w:rsidR="00AF24E4" w:rsidRDefault="00AF24E4" w:rsidP="007D7FC2">
      <w:pPr>
        <w:pStyle w:val="ConsNormal"/>
        <w:ind w:firstLine="709"/>
        <w:jc w:val="both"/>
        <w:rPr>
          <w:rFonts w:ascii="Times New Roman" w:hAnsi="Times New Roman" w:cs="Times New Roman"/>
          <w:b/>
          <w:bCs/>
          <w:sz w:val="28"/>
          <w:szCs w:val="28"/>
        </w:rPr>
      </w:pP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lastRenderedPageBreak/>
        <w:t>Статья 2</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поступление доходов бюджета муниципального округа по группам, подгруппам и статьям бюджетной классификации в пределах общего объема доходов, утвержденного статьей 1 настоящего решения, на 2026 год и на плановый период 2027 и 2028 годов согласно приложению 1 к настоящему решению.</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3</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общий объем налоговых и неналоговых доходов:</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на 2026 год в сумме 1 315 890,50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1 251 857,30 тыс. рублей;</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на 2027 год в сумме 1 414 180,50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1 328 693,10тыс. рублей;</w:t>
      </w:r>
    </w:p>
    <w:p w:rsidR="007D7FC2" w:rsidRDefault="007D7FC2" w:rsidP="007D7FC2">
      <w:pPr>
        <w:pStyle w:val="ConsNormal"/>
        <w:ind w:firstLine="709"/>
        <w:jc w:val="both"/>
      </w:pPr>
      <w:r>
        <w:rPr>
          <w:rFonts w:ascii="Times New Roman" w:hAnsi="Times New Roman" w:cs="Times New Roman"/>
          <w:sz w:val="28"/>
          <w:szCs w:val="28"/>
        </w:rPr>
        <w:t xml:space="preserve">3) на 2028 год в сумме 1 922 673,30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w:t>
      </w:r>
      <w:r>
        <w:rPr>
          <w:rFonts w:ascii="Times New Roman" w:hAnsi="Times New Roman" w:cs="Times New Roman"/>
          <w:color w:val="000000"/>
          <w:sz w:val="28"/>
          <w:szCs w:val="28"/>
        </w:rPr>
        <w:t xml:space="preserve">1 833 778,80 </w:t>
      </w:r>
      <w:r>
        <w:rPr>
          <w:rFonts w:ascii="Times New Roman" w:hAnsi="Times New Roman" w:cs="Times New Roman"/>
          <w:sz w:val="28"/>
          <w:szCs w:val="28"/>
        </w:rPr>
        <w:t>тыс. рублей.</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объем безвозмездных поступлений, получаемых из других бюджетов бюджетной системы Российской Федерации:</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на 2026 год в сумме 2 313 487,30 тыс. рублей, в том числе объем субсидий, субвенций и иных межбюджетных трансфертов, имеющих целевое назначение, в сумме 1 783 292,40 тыс. рублей;</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на 2027 год в сумме 1 953 624,20 тыс. рублей, в том числе объем субсидий, субвенций и иных межбюджетных трансфертов, имеющих целевое назначение, в сумме 1 433 499,80 тыс. рублей;</w:t>
      </w:r>
    </w:p>
    <w:p w:rsidR="007D7FC2" w:rsidRDefault="007D7FC2" w:rsidP="007D7FC2">
      <w:pPr>
        <w:pStyle w:val="ConsNormal"/>
        <w:ind w:firstLine="709"/>
        <w:jc w:val="both"/>
      </w:pPr>
      <w:r>
        <w:rPr>
          <w:rFonts w:ascii="Times New Roman" w:hAnsi="Times New Roman" w:cs="Times New Roman"/>
          <w:sz w:val="28"/>
          <w:szCs w:val="28"/>
        </w:rPr>
        <w:t>3) на 2028 год в сумме 1 594 287,20 тыс. рублей, в том числе объем субсидий, субвенций и иных межбюджетных трансфертов, имеющих целевое назначение, в сумме 1 480 373,50 тыс. рублей.</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5</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Доходы от погашения задолженности и перерасчетов по отмененным налогам и сборам зачисляются в бюджет муниципального округа по нормативам согласно приложению 2 к настоящему решению.</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2. Прочие доходы от оказания платных услуг (работ) получателями средств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3. Доходы от компенсации затрат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4. Платежи, взимаемые органами местного самоуправления Богородского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5.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6. Невыясненные поступления в бюджет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7. Возмещение потерь сельскохозяйственного производства, связанных с изъятием сельскохозяйственных угодий, расположенных на территории Богородского муниципального округа (по обязательствам, возникшим до 1 января 2008 года),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8. Прочие неналоговые доходы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9. Средства самообложения граждан Богородского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10. Платежи в целях возмещения убытков, причиненных уклонением от заключения с муниципальными органами (муниципальными казенными учреждениями) Богородского муниципального округа муниципального контракта, а также иные денежные средства за нарушение законодательства Российской Федерации о контрактной системе в сфере закупок товаров, работ, услуг для обеспечения  муниципальных нужд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11. Платежи в целях возмещения ущерба при расторжении заключенного с муниципальными органами (муниципальными казенными учреждениями) Богородского муниципального округа муниципального контракта в связи с односторонним отказом исполнителя (подрядчика) от его исполнения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12. Денежные взыскания, налагаемые в возмещение ущерба, причиненного в результате незаконного или нецелевого использования средств бюджета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13. Инициативные платежи Богородского муниципального округа зачисляются в бюджет муниципального округа по нормативу 100 процентов.</w:t>
      </w:r>
    </w:p>
    <w:p w:rsidR="007D7FC2" w:rsidRDefault="007D7FC2" w:rsidP="007D7FC2">
      <w:pPr>
        <w:pStyle w:val="ConsNormal"/>
        <w:ind w:firstLine="709"/>
        <w:jc w:val="both"/>
        <w:outlineLvl w:val="0"/>
        <w:rPr>
          <w:rFonts w:ascii="Times New Roman" w:hAnsi="Times New Roman" w:cs="Times New Roman"/>
          <w:b/>
          <w:sz w:val="28"/>
          <w:szCs w:val="28"/>
        </w:rPr>
      </w:pPr>
      <w:r>
        <w:rPr>
          <w:rFonts w:ascii="Times New Roman" w:hAnsi="Times New Roman" w:cs="Times New Roman"/>
          <w:b/>
          <w:bCs/>
          <w:sz w:val="28"/>
          <w:szCs w:val="28"/>
        </w:rPr>
        <w:t xml:space="preserve">Статья 6 </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минимальный размер отчисления в бюджет муниципального округа части прибыли муниципальных унитарных предприятий Богородского муниципального округа, остающейся после уплаты налогов и иных обязательных платежей в бюджет, 50 процентов.</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Конкретный размер части прибыли муниципальных унитарных предприятий Богородского муниципального округа, подлежащей перечислению в бюджет муниципального округа, определяется в соответствии с Положением о порядке определения размера и перечисления в бюджет Богородского муниципального округа части прибыли, остающейся в распоряжении муниципальных унитарных предприятий после уплаты налогов и иных обязательных платежей согласно приложению 10 к настоящему решению.</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3. Муниципальные унитарные предприятия Богородского муниципального округа, включенные в прогнозный план (программу) приватизации муниципального имущества Богородского муниципального округа или подлежащие реорганизации, обязаны до приватизации (реорганизации) перечислить в соответствующем году в бюджет муниципального округа часть прибыли, подлежащей зачислению в бюджет муниципального округа за предшествующие периоды.</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w:t>
      </w:r>
      <w:r>
        <w:rPr>
          <w:rFonts w:ascii="Times New Roman" w:hAnsi="Times New Roman" w:cs="Times New Roman"/>
          <w:b/>
          <w:bCs/>
          <w:sz w:val="28"/>
          <w:szCs w:val="28"/>
          <w:lang w:val="en-US"/>
        </w:rPr>
        <w:t> </w:t>
      </w:r>
      <w:r>
        <w:rPr>
          <w:rFonts w:ascii="Times New Roman" w:hAnsi="Times New Roman" w:cs="Times New Roman"/>
          <w:b/>
          <w:bCs/>
          <w:sz w:val="28"/>
          <w:szCs w:val="28"/>
        </w:rPr>
        <w:t>7</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источники финансирования дефицита бюджета муниципального округа на 2026 год и на плановый период 2027 и 2028 годов согласно приложению 3 к настоящему решению.</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8</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в пределах общего объема расходов, утвержденного статьей 1 настоящего решения:</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2026 год и на плановый период 2027 и 2028 годов согласно приложению 4 к настоящему решению;</w:t>
      </w:r>
    </w:p>
    <w:p w:rsidR="007D7FC2" w:rsidRDefault="007D7FC2" w:rsidP="007D7FC2">
      <w:pPr>
        <w:pStyle w:val="ConsNormal"/>
        <w:ind w:firstLine="709"/>
        <w:jc w:val="both"/>
      </w:pPr>
      <w:r>
        <w:rPr>
          <w:rFonts w:ascii="Times New Roman" w:hAnsi="Times New Roman" w:cs="Times New Roman"/>
          <w:sz w:val="28"/>
          <w:szCs w:val="28"/>
        </w:rPr>
        <w:t xml:space="preserve">2) ведомственную структуру расходов бюджета муниципального округа на 2026 год и на плановый период 2027 и 2028 годов </w:t>
      </w:r>
      <w:r>
        <w:rPr>
          <w:rFonts w:ascii="Times New Roman" w:eastAsia="MS Mincho;ＭＳ 明朝" w:hAnsi="Times New Roman" w:cs="Times New Roman"/>
          <w:sz w:val="28"/>
          <w:szCs w:val="28"/>
        </w:rPr>
        <w:t xml:space="preserve">согласно приложению 5 </w:t>
      </w:r>
      <w:r>
        <w:rPr>
          <w:rFonts w:ascii="Times New Roman" w:hAnsi="Times New Roman" w:cs="Times New Roman"/>
          <w:sz w:val="28"/>
          <w:szCs w:val="28"/>
        </w:rPr>
        <w:t>к настоящему решению</w:t>
      </w:r>
      <w:r>
        <w:rPr>
          <w:rFonts w:ascii="Times New Roman" w:eastAsia="MS Mincho;ＭＳ 明朝" w:hAnsi="Times New Roman" w:cs="Times New Roman"/>
          <w:sz w:val="28"/>
          <w:szCs w:val="28"/>
        </w:rPr>
        <w:t>;</w:t>
      </w:r>
    </w:p>
    <w:p w:rsidR="007D7FC2" w:rsidRDefault="007D7FC2" w:rsidP="007D7FC2">
      <w:pPr>
        <w:pStyle w:val="ConsNormal"/>
        <w:ind w:firstLine="709"/>
        <w:jc w:val="both"/>
      </w:pPr>
      <w:r>
        <w:rPr>
          <w:rFonts w:ascii="Times New Roman" w:hAnsi="Times New Roman" w:cs="Times New Roman"/>
          <w:sz w:val="28"/>
          <w:szCs w:val="28"/>
        </w:rPr>
        <w:t>3) распределение бюджетных ассигнований по разделам, подразделам классификации расходов бюджета на 2026 год и на плановый период 2027 и 2028 годов согласно приложению 6 к настоящему решению.</w:t>
      </w:r>
    </w:p>
    <w:p w:rsidR="007D7FC2" w:rsidRDefault="007D7FC2" w:rsidP="007D7FC2">
      <w:pPr>
        <w:pStyle w:val="ConsNormal"/>
        <w:ind w:firstLine="709"/>
        <w:jc w:val="both"/>
      </w:pPr>
      <w:r>
        <w:rPr>
          <w:rFonts w:ascii="Times New Roman" w:hAnsi="Times New Roman" w:cs="Times New Roman"/>
          <w:sz w:val="28"/>
          <w:szCs w:val="28"/>
        </w:rPr>
        <w:t>2. Утвердить резервные фонды администрации Богородского муниципального округа на 2026 год в сумме 60 </w:t>
      </w:r>
      <w:r w:rsidRPr="00F95E24">
        <w:rPr>
          <w:rFonts w:ascii="Times New Roman" w:hAnsi="Times New Roman" w:cs="Times New Roman"/>
          <w:sz w:val="28"/>
          <w:szCs w:val="28"/>
        </w:rPr>
        <w:t xml:space="preserve">078,15 </w:t>
      </w:r>
      <w:r>
        <w:rPr>
          <w:rFonts w:ascii="Times New Roman" w:hAnsi="Times New Roman" w:cs="Times New Roman"/>
          <w:sz w:val="28"/>
          <w:szCs w:val="28"/>
        </w:rPr>
        <w:t xml:space="preserve">тыс. рублей, на 2027 год в сумме </w:t>
      </w:r>
      <w:r w:rsidRPr="00F95E24">
        <w:rPr>
          <w:rFonts w:ascii="Times New Roman" w:hAnsi="Times New Roman" w:cs="Times New Roman"/>
          <w:sz w:val="28"/>
          <w:szCs w:val="28"/>
        </w:rPr>
        <w:t>40 038,74</w:t>
      </w:r>
      <w:r>
        <w:rPr>
          <w:rFonts w:ascii="Times New Roman" w:hAnsi="Times New Roman" w:cs="Times New Roman"/>
          <w:sz w:val="28"/>
          <w:szCs w:val="28"/>
        </w:rPr>
        <w:t xml:space="preserve"> тыс. рублей, на 2028 год в сумме 39</w:t>
      </w:r>
      <w:r w:rsidRPr="00F95E24">
        <w:rPr>
          <w:rFonts w:ascii="Times New Roman" w:hAnsi="Times New Roman" w:cs="Times New Roman"/>
          <w:sz w:val="28"/>
          <w:szCs w:val="28"/>
        </w:rPr>
        <w:t> 4</w:t>
      </w:r>
      <w:r>
        <w:rPr>
          <w:rFonts w:ascii="Times New Roman" w:hAnsi="Times New Roman" w:cs="Times New Roman"/>
          <w:sz w:val="28"/>
          <w:szCs w:val="28"/>
        </w:rPr>
        <w:t>07</w:t>
      </w:r>
      <w:r w:rsidRPr="00F95E24">
        <w:rPr>
          <w:rFonts w:ascii="Times New Roman" w:hAnsi="Times New Roman" w:cs="Times New Roman"/>
          <w:sz w:val="28"/>
          <w:szCs w:val="28"/>
        </w:rPr>
        <w:t xml:space="preserve">,70 </w:t>
      </w:r>
      <w:r>
        <w:rPr>
          <w:rFonts w:ascii="Times New Roman" w:hAnsi="Times New Roman" w:cs="Times New Roman"/>
          <w:sz w:val="28"/>
          <w:szCs w:val="28"/>
        </w:rPr>
        <w:t>тыс. рублей.</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9</w:t>
      </w:r>
    </w:p>
    <w:p w:rsidR="007D7FC2" w:rsidRDefault="007D7FC2" w:rsidP="007D7FC2">
      <w:pPr>
        <w:pStyle w:val="ConsNormal"/>
        <w:ind w:firstLine="709"/>
        <w:jc w:val="both"/>
      </w:pPr>
      <w:r>
        <w:rPr>
          <w:rFonts w:ascii="Times New Roman" w:hAnsi="Times New Roman" w:cs="Times New Roman"/>
          <w:sz w:val="28"/>
          <w:szCs w:val="28"/>
        </w:rPr>
        <w:t>1. Утвердить общий объем бюджетных ассигнований на исполнение публичных нормативных обязательств на 2026 год в сумме 9</w:t>
      </w:r>
      <w:r w:rsidRPr="00F95E24">
        <w:rPr>
          <w:rFonts w:ascii="Times New Roman" w:hAnsi="Times New Roman" w:cs="Times New Roman"/>
          <w:sz w:val="28"/>
          <w:szCs w:val="28"/>
        </w:rPr>
        <w:t> 163,58</w:t>
      </w:r>
      <w:r>
        <w:rPr>
          <w:rFonts w:ascii="Times New Roman" w:hAnsi="Times New Roman" w:cs="Times New Roman"/>
          <w:sz w:val="28"/>
          <w:szCs w:val="28"/>
        </w:rPr>
        <w:t xml:space="preserve"> тыс. рублей, на 2027 год в сумме 9</w:t>
      </w:r>
      <w:r w:rsidRPr="00F95E24">
        <w:rPr>
          <w:rFonts w:ascii="Times New Roman" w:hAnsi="Times New Roman" w:cs="Times New Roman"/>
          <w:sz w:val="28"/>
          <w:szCs w:val="28"/>
        </w:rPr>
        <w:t> 163,58</w:t>
      </w:r>
      <w:r>
        <w:rPr>
          <w:rFonts w:ascii="Times New Roman" w:hAnsi="Times New Roman" w:cs="Times New Roman"/>
          <w:sz w:val="28"/>
          <w:szCs w:val="28"/>
        </w:rPr>
        <w:t xml:space="preserve"> тыс. рублей, на 2028 год в сумме 9</w:t>
      </w:r>
      <w:r w:rsidRPr="00F95E24">
        <w:rPr>
          <w:rFonts w:ascii="Times New Roman" w:hAnsi="Times New Roman" w:cs="Times New Roman"/>
          <w:sz w:val="28"/>
          <w:szCs w:val="28"/>
        </w:rPr>
        <w:t> 163,58</w:t>
      </w:r>
      <w:r>
        <w:rPr>
          <w:rFonts w:ascii="Times New Roman" w:hAnsi="Times New Roman" w:cs="Times New Roman"/>
          <w:sz w:val="28"/>
          <w:szCs w:val="28"/>
        </w:rPr>
        <w:t xml:space="preserve"> тыс. рублей.</w:t>
      </w:r>
    </w:p>
    <w:p w:rsidR="007D7FC2" w:rsidRDefault="007D7FC2" w:rsidP="007D7FC2">
      <w:pPr>
        <w:pStyle w:val="ConsNormal"/>
        <w:ind w:firstLine="709"/>
        <w:jc w:val="both"/>
      </w:pPr>
      <w:r>
        <w:rPr>
          <w:rFonts w:ascii="Times New Roman" w:hAnsi="Times New Roman" w:cs="Times New Roman"/>
          <w:sz w:val="28"/>
          <w:szCs w:val="28"/>
        </w:rPr>
        <w:t>2. Утвердить перечень публичных нормативных обязательств , подлежащих исполнению за счет средств бюджета муниципального округа на 2026 год и на плановый период 2027 и 2028 годов , согласно приложению 7 к настоящему решению.</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10</w:t>
      </w:r>
    </w:p>
    <w:p w:rsidR="007D7FC2" w:rsidRDefault="007D7FC2" w:rsidP="007D7FC2">
      <w:pPr>
        <w:pStyle w:val="ConsNormal"/>
        <w:ind w:firstLine="709"/>
        <w:jc w:val="both"/>
      </w:pPr>
      <w:r>
        <w:rPr>
          <w:rFonts w:ascii="Times New Roman" w:hAnsi="Times New Roman" w:cs="Times New Roman"/>
          <w:sz w:val="28"/>
          <w:szCs w:val="28"/>
        </w:rPr>
        <w:t xml:space="preserve">1. Установить, что в 2026 году Финансовым управлением администрации Богородского муниципального округа Нижегородской области осуществляется казначейское сопровождение средств, указанных в части 2 настоящей статьи, </w:t>
      </w:r>
      <w:r>
        <w:rPr>
          <w:rFonts w:ascii="Times New Roman" w:hAnsi="Times New Roman" w:cs="Times New Roman"/>
          <w:color w:val="000000"/>
          <w:sz w:val="28"/>
          <w:szCs w:val="28"/>
        </w:rPr>
        <w:t xml:space="preserve">предоставляемых на основании муниципальных контрактов (контрактов, договоров, соглашений) </w:t>
      </w:r>
      <w:r>
        <w:rPr>
          <w:rFonts w:ascii="Times New Roman" w:hAnsi="Times New Roman" w:cs="Times New Roman"/>
          <w:sz w:val="28"/>
          <w:szCs w:val="28"/>
        </w:rPr>
        <w:t>(далее – целевые средства).</w:t>
      </w:r>
    </w:p>
    <w:p w:rsidR="007D7FC2" w:rsidRDefault="007D7FC2" w:rsidP="007D7FC2">
      <w:pPr>
        <w:ind w:firstLine="709"/>
        <w:jc w:val="both"/>
        <w:rPr>
          <w:sz w:val="28"/>
          <w:szCs w:val="28"/>
        </w:rPr>
      </w:pPr>
      <w:r>
        <w:rPr>
          <w:sz w:val="28"/>
          <w:szCs w:val="28"/>
        </w:rPr>
        <w:t>При казначейском сопровождении целевых средств Финансовое управление администрации Богородского муниципального округа Нижегородской области осуществляет санкционирование операций в установленном им порядке.</w:t>
      </w:r>
    </w:p>
    <w:p w:rsidR="007D7FC2" w:rsidRDefault="007D7FC2" w:rsidP="007D7FC2">
      <w:pPr>
        <w:ind w:firstLine="709"/>
        <w:jc w:val="both"/>
        <w:rPr>
          <w:sz w:val="28"/>
          <w:szCs w:val="28"/>
        </w:rPr>
      </w:pPr>
      <w:r>
        <w:rPr>
          <w:sz w:val="28"/>
          <w:szCs w:val="28"/>
        </w:rPr>
        <w:t>2. Установить, что казначейскому сопровождению подлежат:</w:t>
      </w:r>
    </w:p>
    <w:p w:rsidR="007D7FC2" w:rsidRDefault="007D7FC2" w:rsidP="007D7FC2">
      <w:pPr>
        <w:ind w:firstLine="709"/>
        <w:jc w:val="both"/>
        <w:rPr>
          <w:sz w:val="28"/>
          <w:szCs w:val="28"/>
        </w:rPr>
      </w:pPr>
      <w:r>
        <w:rPr>
          <w:sz w:val="28"/>
          <w:szCs w:val="28"/>
        </w:rPr>
        <w:t>1) субсидии юридическим лицам, не являющимся муниципальными учреждениями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 в том числе в соответствии с концессионными соглашениями;</w:t>
      </w:r>
    </w:p>
    <w:p w:rsidR="007D7FC2" w:rsidRDefault="007D7FC2" w:rsidP="007D7FC2">
      <w:pPr>
        <w:ind w:firstLine="709"/>
        <w:jc w:val="both"/>
        <w:rPr>
          <w:sz w:val="28"/>
          <w:szCs w:val="28"/>
        </w:rPr>
      </w:pPr>
      <w:r>
        <w:rPr>
          <w:sz w:val="28"/>
          <w:szCs w:val="28"/>
        </w:rPr>
        <w:t>2) гранты в форме субсидий муниципальным бюджетным и автономным учреждениям Богородского муниципального округа, предоставляемые в соответствии с пунктом 4 статьи 78</w:t>
      </w:r>
      <w:r>
        <w:rPr>
          <w:sz w:val="28"/>
          <w:szCs w:val="28"/>
          <w:vertAlign w:val="superscript"/>
        </w:rPr>
        <w:t>1</w:t>
      </w:r>
      <w:r>
        <w:rPr>
          <w:sz w:val="28"/>
          <w:szCs w:val="28"/>
        </w:rPr>
        <w:t xml:space="preserve"> Бюджетного кодекса Российской Федерации (далее – гранты);</w:t>
      </w:r>
    </w:p>
    <w:p w:rsidR="007D7FC2" w:rsidRDefault="007D7FC2" w:rsidP="007D7FC2">
      <w:pPr>
        <w:ind w:firstLine="709"/>
        <w:jc w:val="both"/>
        <w:rPr>
          <w:sz w:val="28"/>
          <w:szCs w:val="28"/>
        </w:rPr>
      </w:pPr>
      <w:r>
        <w:rPr>
          <w:sz w:val="28"/>
          <w:szCs w:val="28"/>
        </w:rPr>
        <w:t>3)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 в том числе в соответствии с концессионными соглашениями;</w:t>
      </w:r>
    </w:p>
    <w:p w:rsidR="007D7FC2" w:rsidRDefault="007D7FC2" w:rsidP="007D7FC2">
      <w:pPr>
        <w:ind w:firstLine="709"/>
        <w:jc w:val="both"/>
        <w:rPr>
          <w:sz w:val="28"/>
          <w:szCs w:val="28"/>
        </w:rPr>
      </w:pPr>
      <w:r>
        <w:rPr>
          <w:sz w:val="28"/>
          <w:szCs w:val="28"/>
        </w:rPr>
        <w:t>4)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гранты и бюджетные инвестиции, указанные в пунктах 1- 3 настоящей части;</w:t>
      </w:r>
    </w:p>
    <w:p w:rsidR="007D7FC2" w:rsidRDefault="007D7FC2" w:rsidP="007D7FC2">
      <w:pPr>
        <w:ind w:firstLine="709"/>
        <w:jc w:val="both"/>
        <w:rPr>
          <w:sz w:val="28"/>
          <w:szCs w:val="28"/>
        </w:rPr>
      </w:pPr>
      <w:r>
        <w:rPr>
          <w:sz w:val="28"/>
          <w:szCs w:val="28"/>
        </w:rPr>
        <w:t>5) авансовые платежи по контрактам (договорам) о поставке товаров, выполнении работ, оказании услуг, заключаемым получателями субсидий, грантов и бюджетных инвестиций, указанных в пунктах 1- 3 настоящей части, а также получателями взносов (вкладов), указанных в пункте 4 настоящей части, с исполнителями по контрактам (договорам), источником финансового обеспечения которых являются данные субсидии, гранты, бюджетные инвестиции и взносы (вклады), если сумма контракта (договора) превышает 50 000,00 тыс. рублей;</w:t>
      </w:r>
    </w:p>
    <w:p w:rsidR="007D7FC2" w:rsidRDefault="007D7FC2" w:rsidP="007D7FC2">
      <w:pPr>
        <w:ind w:firstLine="709"/>
        <w:jc w:val="both"/>
        <w:rPr>
          <w:sz w:val="28"/>
          <w:szCs w:val="28"/>
        </w:rPr>
      </w:pPr>
      <w:r>
        <w:rPr>
          <w:sz w:val="28"/>
          <w:szCs w:val="28"/>
        </w:rPr>
        <w:t>6) авансовые платежи по муниципальным контрактам о поставке товаров, выполнении работ, оказании услуг, заключаемым на сумму свыше 50 000,00 тыс. рублей;</w:t>
      </w:r>
    </w:p>
    <w:p w:rsidR="007D7FC2" w:rsidRDefault="007D7FC2" w:rsidP="007D7FC2">
      <w:pPr>
        <w:ind w:firstLine="709"/>
        <w:jc w:val="both"/>
        <w:rPr>
          <w:sz w:val="28"/>
          <w:szCs w:val="28"/>
        </w:rPr>
      </w:pPr>
      <w:r>
        <w:rPr>
          <w:sz w:val="28"/>
          <w:szCs w:val="28"/>
        </w:rPr>
        <w:t>7) авансовые платежи по контрактам (договорам) о поставке товаров, выполнении работ, оказании услуг, заключаемым на сумму свыше 50 000,00 тыс. рублей муниципальными бюджетными и автономными учреждениями, лицевые счета которым открыты в Финансовом управлении администрации Богородского муниципального округа Нижегородской области, источником финансового обеспечения которых являются средства, поступающие им в соответствии с законодательством Российской Федерации, Нижегородской области и Богородского муниципального округа на указанные лицевые счета;</w:t>
      </w:r>
    </w:p>
    <w:p w:rsidR="007D7FC2" w:rsidRDefault="007D7FC2" w:rsidP="007D7FC2">
      <w:pPr>
        <w:ind w:firstLine="709"/>
        <w:jc w:val="both"/>
        <w:rPr>
          <w:sz w:val="28"/>
          <w:szCs w:val="28"/>
        </w:rPr>
      </w:pPr>
      <w:r>
        <w:rPr>
          <w:sz w:val="28"/>
          <w:szCs w:val="28"/>
        </w:rPr>
        <w:t>8)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пунктах 5 -7 настоящей части контрактов (договоров), если сумма контракта (договора), заключаемого исполнителем с соисполнителем превышает 30 000,00 тыс. рублей;</w:t>
      </w:r>
    </w:p>
    <w:p w:rsidR="007D7FC2" w:rsidRDefault="007D7FC2" w:rsidP="007D7FC2">
      <w:pPr>
        <w:ind w:firstLine="709"/>
        <w:jc w:val="both"/>
        <w:rPr>
          <w:sz w:val="28"/>
          <w:szCs w:val="28"/>
        </w:rPr>
      </w:pPr>
      <w:r>
        <w:rPr>
          <w:sz w:val="28"/>
          <w:szCs w:val="28"/>
        </w:rPr>
        <w:t>9) расчеты по муниципальным контрактам (договорам)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Богородского муниципального округа Нижегородской области.</w:t>
      </w:r>
    </w:p>
    <w:p w:rsidR="007D7FC2" w:rsidRDefault="007D7FC2" w:rsidP="007D7FC2">
      <w:pPr>
        <w:ind w:firstLine="709"/>
        <w:jc w:val="both"/>
        <w:rPr>
          <w:sz w:val="28"/>
          <w:szCs w:val="28"/>
        </w:rPr>
      </w:pPr>
      <w:r>
        <w:rPr>
          <w:sz w:val="28"/>
          <w:szCs w:val="28"/>
        </w:rPr>
        <w:t xml:space="preserve">3. </w:t>
      </w:r>
      <w:r>
        <w:rPr>
          <w:color w:val="000000"/>
          <w:sz w:val="28"/>
          <w:szCs w:val="28"/>
        </w:rPr>
        <w:t>Положения части 2 настоящей статьи не распространяются в соответствии с подпунктом 4 статьи 242</w:t>
      </w:r>
      <w:r>
        <w:rPr>
          <w:color w:val="000000"/>
          <w:sz w:val="28"/>
          <w:szCs w:val="28"/>
          <w:vertAlign w:val="superscript"/>
        </w:rPr>
        <w:t xml:space="preserve">27 </w:t>
      </w:r>
      <w:r>
        <w:rPr>
          <w:color w:val="000000"/>
          <w:sz w:val="28"/>
          <w:szCs w:val="28"/>
        </w:rPr>
        <w:t>Бюджетного кодекса Российской Федерации на целевые средства, предоставляемые</w:t>
      </w:r>
      <w:r>
        <w:rPr>
          <w:sz w:val="28"/>
          <w:szCs w:val="28"/>
        </w:rPr>
        <w:t xml:space="preserve"> из бюджета муниципального округа:</w:t>
      </w:r>
    </w:p>
    <w:p w:rsidR="007D7FC2" w:rsidRPr="003D52FC" w:rsidRDefault="007D7FC2" w:rsidP="007D7FC2">
      <w:pPr>
        <w:ind w:firstLine="709"/>
        <w:jc w:val="both"/>
        <w:rPr>
          <w:color w:val="000000"/>
          <w:sz w:val="28"/>
          <w:szCs w:val="28"/>
        </w:rPr>
      </w:pPr>
      <w:r w:rsidRPr="003D52FC">
        <w:rPr>
          <w:color w:val="000000"/>
          <w:sz w:val="28"/>
          <w:szCs w:val="28"/>
        </w:rPr>
        <w:t>а) участникам казначейского сопровождения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7D7FC2" w:rsidRPr="003D52FC" w:rsidRDefault="007D7FC2" w:rsidP="001D4C6E">
      <w:pPr>
        <w:ind w:firstLine="709"/>
        <w:jc w:val="both"/>
        <w:rPr>
          <w:color w:val="000000"/>
          <w:sz w:val="28"/>
          <w:szCs w:val="28"/>
        </w:rPr>
      </w:pPr>
      <w:r w:rsidRPr="003D52FC">
        <w:rPr>
          <w:color w:val="000000"/>
          <w:sz w:val="28"/>
          <w:szCs w:val="28"/>
        </w:rPr>
        <w:t xml:space="preserve">б) на возмещение затрат, связанных с поощрением организаций агропромышленного комплекса Богородского муниципального округа Нижегородской области; </w:t>
      </w:r>
    </w:p>
    <w:p w:rsidR="007D7FC2" w:rsidRPr="003D52FC" w:rsidRDefault="007D7FC2" w:rsidP="003D52FC">
      <w:pPr>
        <w:ind w:firstLine="709"/>
        <w:jc w:val="both"/>
        <w:rPr>
          <w:color w:val="000000"/>
          <w:sz w:val="28"/>
          <w:szCs w:val="28"/>
        </w:rPr>
      </w:pPr>
      <w:r w:rsidRPr="003D52FC">
        <w:rPr>
          <w:color w:val="000000"/>
          <w:sz w:val="28"/>
          <w:szCs w:val="28"/>
        </w:rPr>
        <w:t xml:space="preserve">в) социально ориентированным некоммерческим организациям, осуществляющим деятельность, предусмотренную статьей 31.1 Федерального закона от 12 января 1996 года № 7-ФЗ </w:t>
      </w:r>
      <w:r w:rsidR="00AF24E4">
        <w:rPr>
          <w:color w:val="000000"/>
          <w:sz w:val="28"/>
          <w:szCs w:val="28"/>
        </w:rPr>
        <w:t>«</w:t>
      </w:r>
      <w:r w:rsidRPr="003D52FC">
        <w:rPr>
          <w:color w:val="000000"/>
          <w:sz w:val="28"/>
          <w:szCs w:val="28"/>
        </w:rPr>
        <w:t>О некоммерческих организациях</w:t>
      </w:r>
      <w:r w:rsidR="00AF24E4">
        <w:rPr>
          <w:color w:val="000000"/>
          <w:sz w:val="28"/>
          <w:szCs w:val="28"/>
        </w:rPr>
        <w:t>»</w:t>
      </w:r>
      <w:r w:rsidRPr="003D52FC">
        <w:rPr>
          <w:color w:val="000000"/>
          <w:sz w:val="28"/>
          <w:szCs w:val="28"/>
        </w:rPr>
        <w:t>, некоммерческим организациям осуществляющим деятельность спортивной направленности на финансовое обеспечение затрат на общественно-полезные мероприятия спортивной направленности,   за исключением случаев если в соглашениях (договорах) о предоставлении субсидии из бюджета муниципального округа предусмотрено условие об открытии лицевых счетов получателю субсидии в Финансовом управлении администрации Богородского муниципального округа Нижегородской области;</w:t>
      </w:r>
    </w:p>
    <w:p w:rsidR="007D7FC2" w:rsidRDefault="007D7FC2" w:rsidP="007D7FC2">
      <w:pPr>
        <w:ind w:firstLine="709"/>
        <w:jc w:val="both"/>
        <w:rPr>
          <w:color w:val="000000"/>
        </w:rPr>
      </w:pPr>
      <w:r>
        <w:rPr>
          <w:color w:val="000000"/>
          <w:sz w:val="28"/>
          <w:szCs w:val="28"/>
        </w:rPr>
        <w:t>г) организациям, осуществляющим предоставление права на использование простой (неисключительной) лицензии и программного продукта для муниципальных нужд;</w:t>
      </w:r>
    </w:p>
    <w:p w:rsidR="007D7FC2" w:rsidRDefault="007D7FC2" w:rsidP="007D7FC2">
      <w:pPr>
        <w:ind w:firstLine="709"/>
        <w:jc w:val="both"/>
        <w:rPr>
          <w:color w:val="000000"/>
        </w:rPr>
      </w:pPr>
      <w:r>
        <w:rPr>
          <w:color w:val="000000"/>
          <w:sz w:val="28"/>
          <w:szCs w:val="28"/>
        </w:rPr>
        <w:t xml:space="preserve">д) организациям, осуществляющим выдачу технических условий на подключение к сетям инженерно-технического обеспечения; </w:t>
      </w:r>
    </w:p>
    <w:p w:rsidR="007D7FC2" w:rsidRDefault="007D7FC2" w:rsidP="007D7FC2">
      <w:pPr>
        <w:ind w:firstLine="709"/>
        <w:jc w:val="both"/>
        <w:rPr>
          <w:color w:val="000000"/>
        </w:rPr>
      </w:pPr>
      <w:r>
        <w:rPr>
          <w:color w:val="000000"/>
          <w:sz w:val="28"/>
          <w:szCs w:val="28"/>
        </w:rPr>
        <w:t xml:space="preserve">е) организациям, осуществляющим мероприятия по предупреждению и (или) ликвидации чрезвычайных ситуаций, а также мобилизационной подготовке; </w:t>
      </w:r>
    </w:p>
    <w:p w:rsidR="007D7FC2" w:rsidRDefault="007D7FC2" w:rsidP="007D7FC2">
      <w:pPr>
        <w:ind w:firstLine="709"/>
        <w:jc w:val="both"/>
        <w:rPr>
          <w:sz w:val="28"/>
          <w:szCs w:val="28"/>
        </w:rPr>
      </w:pPr>
      <w:r>
        <w:rPr>
          <w:color w:val="000000"/>
          <w:sz w:val="28"/>
          <w:szCs w:val="28"/>
        </w:rPr>
        <w:t>ж) организациям, предоставляющим жилые помещения в целях обеспечения ими детей-сирот и детей, оставшихся без попечения родителей, лиц из чис</w:t>
      </w:r>
      <w:r>
        <w:rPr>
          <w:sz w:val="28"/>
          <w:szCs w:val="28"/>
        </w:rPr>
        <w:t>ла детей-сирот и детей, оставшихся без попечения родителей.</w:t>
      </w:r>
    </w:p>
    <w:p w:rsidR="007D7FC2" w:rsidRDefault="007D7FC2" w:rsidP="007D7FC2">
      <w:pPr>
        <w:ind w:firstLine="709"/>
        <w:jc w:val="both"/>
        <w:rPr>
          <w:sz w:val="28"/>
          <w:szCs w:val="28"/>
        </w:rPr>
      </w:pPr>
      <w:r>
        <w:rPr>
          <w:sz w:val="28"/>
          <w:szCs w:val="28"/>
        </w:rPr>
        <w:t>4. Установить, что при казначейском сопровождении субсидий юридическим лицам перечисление субсидий осуществляется под фактическую потребность (с учетом аванса) на основании документов, подтверждающих возникновение у юридических лиц денежных обязательств.</w:t>
      </w:r>
    </w:p>
    <w:p w:rsidR="007D7FC2" w:rsidRDefault="007D7FC2" w:rsidP="007D7FC2">
      <w:pPr>
        <w:ind w:firstLine="709"/>
        <w:jc w:val="both"/>
        <w:rPr>
          <w:sz w:val="28"/>
          <w:szCs w:val="28"/>
        </w:rPr>
      </w:pPr>
      <w:r>
        <w:rPr>
          <w:sz w:val="28"/>
          <w:szCs w:val="28"/>
        </w:rPr>
        <w:t>Перечисление субсидий юридическим лицам в рамках национальных проектов Российской Федерации осуществляется в соответствии с заключенным соглашением в пределах суммы, необходимой для оплаты денежных обязательств, и (или) в соответствии с планом — графиком перечисления субсидии, являющимся приложением к соглашению.</w:t>
      </w:r>
    </w:p>
    <w:p w:rsidR="007D7FC2" w:rsidRDefault="007D7FC2" w:rsidP="007D7FC2">
      <w:pPr>
        <w:ind w:firstLine="709"/>
        <w:jc w:val="both"/>
        <w:rPr>
          <w:color w:val="000000"/>
        </w:rPr>
      </w:pPr>
      <w:r>
        <w:rPr>
          <w:color w:val="000000"/>
          <w:sz w:val="28"/>
          <w:szCs w:val="28"/>
        </w:rPr>
        <w:t>В случаях, установленных администрацией Богородского муниципального округа Нижегородской области, перечисление субсидий юридическим лицам, не являющимся муниципальными бюджетными и автономными учреждениями Богородского муниципального округа Нижегородской области, осуществляется в соответствии с планом-графиком перечисления субсидии, являющимся приложением к соглашению о предоставлении субсидии.</w:t>
      </w:r>
    </w:p>
    <w:p w:rsidR="007D7FC2" w:rsidRDefault="007D7FC2" w:rsidP="007D7FC2">
      <w:pPr>
        <w:ind w:firstLine="709"/>
        <w:jc w:val="both"/>
        <w:rPr>
          <w:sz w:val="28"/>
          <w:szCs w:val="28"/>
        </w:rPr>
      </w:pPr>
      <w:r>
        <w:rPr>
          <w:color w:val="000000"/>
          <w:sz w:val="28"/>
          <w:szCs w:val="28"/>
        </w:rPr>
        <w:t>5. Осуществление операций с целевыми средствами, поступающими на лицевые счета иных юридических лиц, не являющихся участниками бюджетного процесса, бюджетными (автономными) учреждениями, на основании муниципальных контрактов, договоров, соглашений, заключенных до 2022 года, производится на казначейском счете для осуществления и отражения операций с денежными средствами получателей средств из бюджета, открытом Финансовому управлению администрации Богородского муниципального округа Нижегородской области в Управлении Федерального казначейства по Нижегородской области</w:t>
      </w:r>
      <w:r>
        <w:rPr>
          <w:sz w:val="28"/>
          <w:szCs w:val="28"/>
        </w:rPr>
        <w:t>.</w:t>
      </w:r>
    </w:p>
    <w:p w:rsidR="007D7FC2" w:rsidRDefault="007D7FC2" w:rsidP="007D7FC2">
      <w:pPr>
        <w:ind w:firstLine="709"/>
        <w:jc w:val="both"/>
        <w:rPr>
          <w:sz w:val="28"/>
          <w:szCs w:val="28"/>
        </w:rPr>
      </w:pPr>
      <w:r>
        <w:rPr>
          <w:sz w:val="28"/>
          <w:szCs w:val="28"/>
        </w:rPr>
        <w:t>6.Открытие лицевых счетов участникам казначейского сопровождения осуществляется в порядке, установленном Финансовым управлением администрации Богородского муниципального округа Нижегородской области. Юридическим лицам, не имеющим регистрации на территории Богородского муниципального округа Нижегородской области , лицевые счета открываются после предоставления информации о регистрации обособленных подразделений таких юридических лиц на территории Богородского муниципального округа Нижегородской области в случаях, установленных Налоговым кодексом Российской Федерации.</w:t>
      </w:r>
    </w:p>
    <w:p w:rsidR="007D7FC2" w:rsidRDefault="007D7FC2" w:rsidP="007D7FC2">
      <w:pPr>
        <w:pStyle w:val="ae"/>
      </w:pPr>
      <w:r>
        <w:tab/>
        <w:t>7. В случаях заключения муниципального контракта (контракта, договора, соглашения), предметом которого является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авансирование работ по строительству, реконструкции и (или) капитальному ремонту объекта капитального строительства осуществляется после получения положительного заключения государственной экспертизы  проектной документации и результатов инженерных изысканий или положительного заключения экспертизы сметной документации уполномоченного органа (в случае, если в соответствии с законодательством о градостроительной деятельности государственная экспертиза проектной документации не требуется).</w:t>
      </w:r>
    </w:p>
    <w:p w:rsidR="007D7FC2" w:rsidRDefault="007D7FC2" w:rsidP="007D7FC2">
      <w:pPr>
        <w:pStyle w:val="ae"/>
      </w:pPr>
      <w:r>
        <w:tab/>
        <w:t>8. Получатели средств бюджета муниципального округа, муниципальные бюджетные и автономные учреждения Богородского муниципального округа Нижегородской области предусматривают в заключаемых ими муниципальных контрактах (контрактах, договорах, соглашениях) о поставке товаров (выполнение работ, оказание услуг), условие об установлении размера авансового платежа, в соответствии с постановлением администрации Богородского муниципального округа Нижегородской области о мерах по реализации решения Совета депутатов Богородского муниципального округа Нижегородской области о бюджете муниципального округа на соответствующий финансовый год и на плановый период, но не более  размера обеспечения муниципальных контрактов (контрактов).</w:t>
      </w:r>
    </w:p>
    <w:p w:rsidR="007D7FC2" w:rsidRDefault="007D7FC2" w:rsidP="007D7FC2">
      <w:pPr>
        <w:pStyle w:val="ae"/>
      </w:pPr>
      <w:r>
        <w:tab/>
        <w:t>9. В случае предоставления бюджету Богородского муниципального округа Нижегородской области из областного бюджета субсидии, иного межбюджетного трансферта в целях софинансирования расходных обязательств муниципального округа, возникающих из муниципальных контрактов на поставку товаров (выполнение работ, оказание услуг), заключаемых в целях реализации принятых в установленном порядке решений об осуществлении капитальных вложений в объекты капитального строительства муниципальной собственности, в  заключаемые муниципальные контракты, в соответствии с заключенными соглашениями о представлении таких межбюджетных трансфертов, включается условие об установлении размера авансового платежа не более размера обеспечения муниципальных контрактов .</w:t>
      </w:r>
    </w:p>
    <w:p w:rsidR="007D7FC2" w:rsidRDefault="007D7FC2" w:rsidP="007D7FC2">
      <w:pPr>
        <w:pStyle w:val="ae"/>
      </w:pPr>
      <w:r>
        <w:tab/>
        <w:t>10. В случае увеличения в процессе исполнения муниципального контракта (контракта, договора) его объема до размера, подпадающего под казначейское сопровождение в соответствии с бюджетным законодательством, устанавливается казначейское сопровождение такого муниципального контракта (контракта, договора).</w:t>
      </w:r>
    </w:p>
    <w:p w:rsidR="007D7FC2" w:rsidRDefault="007D7FC2" w:rsidP="007D7FC2">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11</w:t>
      </w:r>
    </w:p>
    <w:p w:rsidR="007D7FC2" w:rsidRDefault="007D7FC2" w:rsidP="007D7FC2">
      <w:pPr>
        <w:ind w:firstLine="709"/>
        <w:jc w:val="both"/>
      </w:pPr>
      <w:r>
        <w:rPr>
          <w:sz w:val="28"/>
          <w:szCs w:val="28"/>
        </w:rPr>
        <w:t>1. Утвердить объем бюджетных ассигнований муниципального дорожного фонда Богородского муниципального округа:</w:t>
      </w:r>
    </w:p>
    <w:p w:rsidR="007D7FC2" w:rsidRDefault="007D7FC2" w:rsidP="007D7FC2">
      <w:pPr>
        <w:ind w:firstLine="709"/>
        <w:jc w:val="both"/>
      </w:pPr>
      <w:r>
        <w:rPr>
          <w:sz w:val="28"/>
          <w:szCs w:val="28"/>
        </w:rPr>
        <w:t xml:space="preserve">на 2026 год в сумме 64 033,20 тыс. рублей, </w:t>
      </w:r>
      <w:r>
        <w:rPr>
          <w:color w:val="000000"/>
          <w:sz w:val="28"/>
          <w:szCs w:val="28"/>
        </w:rPr>
        <w:t>и с учетом средств, выделенных из областного дорожного фонда 94 033,20 тыс. рублей,</w:t>
      </w:r>
    </w:p>
    <w:p w:rsidR="007D7FC2" w:rsidRDefault="007D7FC2" w:rsidP="007D7FC2">
      <w:pPr>
        <w:ind w:firstLine="709"/>
        <w:jc w:val="both"/>
      </w:pPr>
      <w:r>
        <w:rPr>
          <w:sz w:val="28"/>
          <w:szCs w:val="28"/>
        </w:rPr>
        <w:t xml:space="preserve">на 2027 год в сумме 85 487,40 тыс. рублей, </w:t>
      </w:r>
    </w:p>
    <w:p w:rsidR="007D7FC2" w:rsidRDefault="007D7FC2" w:rsidP="007D7FC2">
      <w:pPr>
        <w:ind w:firstLine="709"/>
        <w:jc w:val="both"/>
      </w:pPr>
      <w:r>
        <w:rPr>
          <w:sz w:val="28"/>
          <w:szCs w:val="28"/>
        </w:rPr>
        <w:t>на 2028 год в сумме 88 894,50 тыс. рублей.</w:t>
      </w:r>
    </w:p>
    <w:p w:rsidR="007D7FC2" w:rsidRDefault="007D7FC2" w:rsidP="007D7FC2">
      <w:pPr>
        <w:ind w:firstLine="709"/>
        <w:jc w:val="both"/>
        <w:rPr>
          <w:sz w:val="28"/>
          <w:szCs w:val="28"/>
        </w:rPr>
      </w:pPr>
      <w:r>
        <w:rPr>
          <w:sz w:val="28"/>
          <w:szCs w:val="28"/>
        </w:rPr>
        <w:t>2. Использование средств муниципального дорожного фонда Богородского муниципального округа, указанных в п. 1 настоящей статьи, осуществляется в порядке, установленном представительным органом.</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12</w:t>
      </w:r>
    </w:p>
    <w:p w:rsidR="007D7FC2" w:rsidRDefault="007D7FC2" w:rsidP="007D7FC2">
      <w:pPr>
        <w:pStyle w:val="ConsNormal"/>
        <w:ind w:firstLine="709"/>
        <w:jc w:val="both"/>
        <w:rPr>
          <w:sz w:val="28"/>
          <w:szCs w:val="28"/>
        </w:rPr>
      </w:pPr>
      <w:r>
        <w:rPr>
          <w:rFonts w:ascii="Times New Roman" w:hAnsi="Times New Roman" w:cs="Times New Roman"/>
          <w:iCs/>
          <w:sz w:val="28"/>
          <w:szCs w:val="28"/>
        </w:rPr>
        <w:t xml:space="preserve">1.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настоящим Решением, предоставляются в целях возмещения недополученных доходов и (или) финансового обеспечения (возмещения) затрат в порядке, установленном администрацией Богородского муниципального округа </w:t>
      </w:r>
      <w:r>
        <w:rPr>
          <w:rFonts w:ascii="Times New Roman" w:hAnsi="Times New Roman" w:cs="Times New Roman"/>
          <w:bCs/>
          <w:iCs/>
          <w:sz w:val="28"/>
          <w:szCs w:val="28"/>
        </w:rPr>
        <w:t xml:space="preserve">, </w:t>
      </w:r>
      <w:r>
        <w:rPr>
          <w:rFonts w:ascii="Times New Roman" w:hAnsi="Times New Roman" w:cs="Times New Roman"/>
          <w:iCs/>
          <w:sz w:val="28"/>
          <w:szCs w:val="28"/>
        </w:rPr>
        <w:t>и (или) в соответствии с условиями, предусмотренными концессионными соглашениями, в следующих случаях:</w:t>
      </w:r>
    </w:p>
    <w:p w:rsidR="007D7FC2" w:rsidRDefault="007D7FC2" w:rsidP="007D7FC2">
      <w:pPr>
        <w:pStyle w:val="ConsNormal"/>
        <w:ind w:firstLine="709"/>
        <w:jc w:val="both"/>
        <w:rPr>
          <w:color w:val="000000"/>
        </w:rPr>
      </w:pPr>
      <w:r>
        <w:rPr>
          <w:rFonts w:ascii="Times New Roman" w:hAnsi="Times New Roman" w:cs="Times New Roman"/>
          <w:iCs/>
          <w:color w:val="000000"/>
          <w:sz w:val="28"/>
          <w:szCs w:val="28"/>
        </w:rPr>
        <w:t>1) на возмещение затрат, связанных с поощрением работников организаций агропромышленного комплекса Богородского муниципального округа;</w:t>
      </w:r>
    </w:p>
    <w:p w:rsidR="007D7FC2" w:rsidRDefault="007D7FC2" w:rsidP="007D7FC2">
      <w:pPr>
        <w:pStyle w:val="ConsNormal"/>
        <w:ind w:firstLine="709"/>
        <w:jc w:val="both"/>
        <w:rPr>
          <w:color w:val="000000"/>
        </w:rPr>
      </w:pPr>
      <w:r>
        <w:rPr>
          <w:rFonts w:ascii="Times New Roman" w:hAnsi="Times New Roman" w:cs="Times New Roman"/>
          <w:iCs/>
          <w:color w:val="000000"/>
          <w:sz w:val="28"/>
          <w:szCs w:val="28"/>
        </w:rPr>
        <w:t>2) на возмещение недополученных доходов в связи с оказанием услуг бань населению на территории Богородского муниципального округа;</w:t>
      </w:r>
    </w:p>
    <w:p w:rsidR="007D7FC2" w:rsidRDefault="007D7FC2" w:rsidP="007D7FC2">
      <w:pPr>
        <w:pStyle w:val="ConsNormal"/>
        <w:ind w:firstLine="709"/>
        <w:jc w:val="both"/>
        <w:rPr>
          <w:color w:val="000000"/>
        </w:rPr>
      </w:pPr>
      <w:r>
        <w:rPr>
          <w:rFonts w:ascii="Times New Roman" w:hAnsi="Times New Roman" w:cs="Times New Roman"/>
          <w:iCs/>
          <w:color w:val="000000"/>
          <w:sz w:val="28"/>
          <w:szCs w:val="28"/>
        </w:rPr>
        <w:t>3) на возмещение части затрат на производство сельскохозяйственной продукции, на создание условий для развития сельскохозяйственного производства;</w:t>
      </w:r>
    </w:p>
    <w:p w:rsidR="007D7FC2" w:rsidRDefault="007D7FC2" w:rsidP="007D7FC2">
      <w:pPr>
        <w:pStyle w:val="ConsNormal"/>
        <w:ind w:firstLine="709"/>
        <w:jc w:val="both"/>
        <w:rPr>
          <w:color w:val="000000"/>
        </w:rPr>
      </w:pPr>
      <w:r>
        <w:rPr>
          <w:rFonts w:ascii="Times New Roman" w:hAnsi="Times New Roman" w:cs="Times New Roman"/>
          <w:iCs/>
          <w:color w:val="000000"/>
          <w:sz w:val="28"/>
          <w:szCs w:val="28"/>
        </w:rPr>
        <w:t>4) на мероприятия по погашению задолженности, на возмещение расходов и (или) компенсацию выпадающих доходов, вызванных сверхлимитным потреблением топливно-энергетических ресурсов.</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2. Установить, что субсидии некоммерческим организациям, не являющимся государственными (муниципальными) учреждениями,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 </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1)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 направленных на реализацию семейной политики;</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2)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 направленных на реализацию мероприятий по поддержке отдельных категорий граждан старшего поколения;</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3) на финансовое обеспечение затрат социально ориентированным некоммерческим организациям на территории Богородского муниципального округа Нижегородской области, направленных на поддержку инвалидов и ветеранов боевых действий;</w:t>
      </w:r>
    </w:p>
    <w:p w:rsidR="007D7FC2" w:rsidRDefault="007D7FC2" w:rsidP="007D7FC2">
      <w:pPr>
        <w:ind w:firstLine="709"/>
        <w:jc w:val="both"/>
        <w:rPr>
          <w:iCs/>
          <w:sz w:val="28"/>
          <w:szCs w:val="28"/>
        </w:rPr>
      </w:pPr>
      <w:r>
        <w:rPr>
          <w:iCs/>
          <w:sz w:val="28"/>
          <w:szCs w:val="28"/>
        </w:rPr>
        <w:t>4) на финансовое обеспечение затрат на общественно-полезные мероприятия спортивной направленности;</w:t>
      </w:r>
    </w:p>
    <w:p w:rsidR="007D7FC2" w:rsidRDefault="007D7FC2" w:rsidP="007D7FC2">
      <w:pPr>
        <w:pStyle w:val="ConsNormal"/>
        <w:ind w:firstLine="709"/>
        <w:jc w:val="both"/>
        <w:rPr>
          <w:color w:val="000000"/>
        </w:rPr>
      </w:pPr>
      <w:r>
        <w:rPr>
          <w:rFonts w:ascii="Times New Roman" w:hAnsi="Times New Roman" w:cs="Times New Roman"/>
          <w:iCs/>
          <w:color w:val="000000"/>
          <w:sz w:val="28"/>
          <w:szCs w:val="28"/>
        </w:rPr>
        <w:t>5) на финансовое обеспечение затрат, связанных с обеспечением деятельности инфраструктуры поддержки субъектов малого и среднего предпринимательства.</w:t>
      </w:r>
    </w:p>
    <w:p w:rsidR="007D7FC2" w:rsidRDefault="007D7FC2" w:rsidP="007D7FC2">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3. Субсидии, указанные в настоящей статье, распределяются в соответствии с нормативными правовыми актами администрации Богородского муниципального округа.</w:t>
      </w:r>
    </w:p>
    <w:p w:rsidR="007D7FC2" w:rsidRDefault="007D7FC2" w:rsidP="007D7FC2">
      <w:pPr>
        <w:pStyle w:val="ConsNormal"/>
        <w:ind w:firstLine="709"/>
        <w:jc w:val="both"/>
      </w:pPr>
      <w:r>
        <w:rPr>
          <w:rFonts w:ascii="Times New Roman" w:hAnsi="Times New Roman" w:cs="Times New Roman"/>
          <w:b/>
          <w:bCs/>
          <w:color w:val="000000"/>
          <w:sz w:val="28"/>
          <w:szCs w:val="28"/>
        </w:rPr>
        <w:t>Статья 13</w:t>
      </w:r>
    </w:p>
    <w:p w:rsidR="007D7FC2" w:rsidRDefault="007D7FC2" w:rsidP="007D7FC2">
      <w:pPr>
        <w:pStyle w:val="ConsNormal"/>
        <w:ind w:firstLine="709"/>
        <w:jc w:val="both"/>
        <w:rPr>
          <w:color w:val="000000"/>
        </w:rPr>
      </w:pPr>
      <w:r>
        <w:rPr>
          <w:rFonts w:ascii="Times New Roman" w:hAnsi="Times New Roman" w:cs="Times New Roman"/>
          <w:color w:val="000000"/>
          <w:sz w:val="28"/>
          <w:szCs w:val="28"/>
        </w:rPr>
        <w:t>Установить, что субсидии юридическим лицам, индивидуальным предпринимателям, а также физическим лицам- производителям товаров, работ, услуг в целях финансового обеспечения исполнения государственных (муниципальных) услуг в социальной сфере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rsidR="007D7FC2" w:rsidRDefault="007D7FC2" w:rsidP="007D7FC2">
      <w:pPr>
        <w:pStyle w:val="ConsNormal"/>
        <w:ind w:firstLine="709"/>
        <w:jc w:val="both"/>
        <w:rPr>
          <w:color w:val="000000"/>
        </w:rPr>
      </w:pPr>
      <w:r>
        <w:rPr>
          <w:rFonts w:ascii="Times New Roman" w:hAnsi="Times New Roman" w:cs="Times New Roman"/>
          <w:color w:val="000000"/>
          <w:sz w:val="28"/>
          <w:szCs w:val="28"/>
        </w:rPr>
        <w:t>1)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rsidR="007D7FC2" w:rsidRDefault="007D7FC2" w:rsidP="007D7FC2">
      <w:pPr>
        <w:pStyle w:val="ConsNormal"/>
        <w:ind w:firstLine="709"/>
        <w:jc w:val="both"/>
        <w:rPr>
          <w:color w:val="000000"/>
        </w:rPr>
      </w:pPr>
      <w:r>
        <w:rPr>
          <w:rFonts w:ascii="Times New Roman" w:hAnsi="Times New Roman" w:cs="Times New Roman"/>
          <w:color w:val="000000"/>
          <w:sz w:val="28"/>
          <w:szCs w:val="28"/>
        </w:rPr>
        <w:t>2)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14</w:t>
      </w:r>
    </w:p>
    <w:p w:rsidR="007D7FC2" w:rsidRDefault="007D7FC2" w:rsidP="007D7FC2">
      <w:pPr>
        <w:pStyle w:val="Times12"/>
      </w:pPr>
      <w:r>
        <w:rPr>
          <w:sz w:val="28"/>
          <w:szCs w:val="28"/>
        </w:rPr>
        <w:t>1. Установить верхний предел муниципального внутреннего долга Богородского муниципального округа:</w:t>
      </w:r>
    </w:p>
    <w:p w:rsidR="007D7FC2" w:rsidRDefault="007D7FC2" w:rsidP="007D7FC2">
      <w:pPr>
        <w:pStyle w:val="Times12"/>
      </w:pPr>
      <w:r>
        <w:rPr>
          <w:sz w:val="28"/>
          <w:szCs w:val="28"/>
        </w:rPr>
        <w:t>1) на 1 января 2027 года в размере 60 000</w:t>
      </w:r>
      <w:r>
        <w:rPr>
          <w:color w:val="000000"/>
          <w:sz w:val="28"/>
          <w:szCs w:val="28"/>
        </w:rPr>
        <w:t>,00</w:t>
      </w:r>
      <w:r>
        <w:rPr>
          <w:sz w:val="28"/>
          <w:szCs w:val="28"/>
        </w:rPr>
        <w:t xml:space="preserve"> тыс. руб., в том числе установить верхний предел долга по муниципальным гарантиям Богородского муниципального округа на 1 января 2027 года в размере равном нулю;</w:t>
      </w:r>
    </w:p>
    <w:p w:rsidR="007D7FC2" w:rsidRDefault="007D7FC2" w:rsidP="007D7FC2">
      <w:pPr>
        <w:pStyle w:val="Times12"/>
      </w:pPr>
      <w:r>
        <w:rPr>
          <w:sz w:val="28"/>
          <w:szCs w:val="28"/>
        </w:rPr>
        <w:t xml:space="preserve">2) на 1 января 2028 года в размере </w:t>
      </w:r>
      <w:r>
        <w:rPr>
          <w:color w:val="000000"/>
          <w:sz w:val="28"/>
          <w:szCs w:val="28"/>
        </w:rPr>
        <w:t>40 000,00 т</w:t>
      </w:r>
      <w:r>
        <w:rPr>
          <w:sz w:val="28"/>
          <w:szCs w:val="28"/>
        </w:rPr>
        <w:t>ыс. руб., в том числе установить верхний предел долга по муниципальным гарантиям Богородского муниципального округа на 1 января 2028 года в размере равном нулю;</w:t>
      </w:r>
    </w:p>
    <w:p w:rsidR="007D7FC2" w:rsidRDefault="007D7FC2" w:rsidP="007D7FC2">
      <w:pPr>
        <w:pStyle w:val="Times12"/>
      </w:pPr>
      <w:r>
        <w:rPr>
          <w:sz w:val="28"/>
          <w:szCs w:val="28"/>
        </w:rPr>
        <w:t>3) на 1 января 2029 года в размере 20 000,00тыс. руб., в том числе установить верхний предел долга по муниципальным гарантиям Богородского муниципального округа на 1 января 2029 года в размере равном нулю.</w:t>
      </w:r>
    </w:p>
    <w:p w:rsidR="007D7FC2" w:rsidRDefault="007D7FC2" w:rsidP="007D7FC2">
      <w:pPr>
        <w:pStyle w:val="Times12"/>
      </w:pPr>
      <w:r>
        <w:rPr>
          <w:sz w:val="28"/>
          <w:szCs w:val="28"/>
        </w:rPr>
        <w:t>2. Утвердить объем бюджетных ассигнований, предусмотренных на исполнение муниципальных гарантий Богородского муниципального округа по возможным гарантийным случаям:</w:t>
      </w:r>
    </w:p>
    <w:p w:rsidR="007D7FC2" w:rsidRDefault="007D7FC2" w:rsidP="007D7FC2">
      <w:pPr>
        <w:pStyle w:val="Times12"/>
      </w:pPr>
      <w:r>
        <w:rPr>
          <w:sz w:val="28"/>
          <w:szCs w:val="28"/>
        </w:rPr>
        <w:t>1) на 2026 год в сумме 0,0 тыс.руб.;</w:t>
      </w:r>
    </w:p>
    <w:p w:rsidR="007D7FC2" w:rsidRDefault="007D7FC2" w:rsidP="007D7FC2">
      <w:pPr>
        <w:pStyle w:val="Times12"/>
      </w:pPr>
      <w:r>
        <w:rPr>
          <w:sz w:val="28"/>
          <w:szCs w:val="28"/>
        </w:rPr>
        <w:t>2) на 2027 год в сумме 0,0 тыс.руб.;</w:t>
      </w:r>
    </w:p>
    <w:p w:rsidR="007D7FC2" w:rsidRDefault="007D7FC2" w:rsidP="007D7FC2">
      <w:pPr>
        <w:pStyle w:val="Times12"/>
      </w:pPr>
      <w:r>
        <w:rPr>
          <w:sz w:val="28"/>
          <w:szCs w:val="28"/>
        </w:rPr>
        <w:t>3) на 2028 год в сумме 0,0 тыс.руб.</w:t>
      </w:r>
    </w:p>
    <w:p w:rsidR="007D7FC2" w:rsidRDefault="007D7FC2" w:rsidP="007D7FC2">
      <w:pPr>
        <w:pStyle w:val="ConsNormal"/>
        <w:ind w:firstLine="709"/>
        <w:jc w:val="both"/>
      </w:pPr>
      <w:r>
        <w:rPr>
          <w:rFonts w:ascii="Times New Roman" w:hAnsi="Times New Roman" w:cs="Times New Roman"/>
          <w:b/>
          <w:bCs/>
          <w:sz w:val="28"/>
          <w:szCs w:val="28"/>
        </w:rPr>
        <w:t>Статья 15</w:t>
      </w:r>
    </w:p>
    <w:p w:rsidR="007D7FC2" w:rsidRDefault="007D7FC2" w:rsidP="007D7FC2">
      <w:pPr>
        <w:pStyle w:val="ConsNormal"/>
        <w:ind w:firstLine="709"/>
        <w:jc w:val="both"/>
      </w:pPr>
      <w:r>
        <w:rPr>
          <w:rFonts w:ascii="Times New Roman" w:hAnsi="Times New Roman" w:cs="Times New Roman"/>
          <w:sz w:val="28"/>
          <w:szCs w:val="28"/>
        </w:rPr>
        <w:t>Утвердить Программу муниципальных внутренних заимствований Богородского муниципального округа на 2026 год и на плановый период 2027 и 2028 годов согласно приложению 8 к настоящему решению.</w:t>
      </w:r>
    </w:p>
    <w:p w:rsidR="007D7FC2" w:rsidRDefault="007D7FC2" w:rsidP="007D7FC2">
      <w:pPr>
        <w:pStyle w:val="ConsNormal"/>
        <w:ind w:firstLine="709"/>
        <w:jc w:val="both"/>
      </w:pPr>
      <w:r>
        <w:rPr>
          <w:rFonts w:ascii="Times New Roman" w:hAnsi="Times New Roman" w:cs="Times New Roman"/>
          <w:sz w:val="28"/>
          <w:szCs w:val="28"/>
        </w:rPr>
        <w:t>Утвердить Программу муниципальных гарантий Богородского муниципального округа на 2026 год и на плановый период 2027 и 2028 годов согласно приложению 9 к настоящему решению.</w:t>
      </w:r>
    </w:p>
    <w:p w:rsidR="007D7FC2" w:rsidRDefault="007D7FC2" w:rsidP="007D7FC2">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16</w:t>
      </w:r>
    </w:p>
    <w:p w:rsidR="007D7FC2" w:rsidRDefault="007D7FC2" w:rsidP="007D7FC2">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если нормативные правовые акты Богородского муниципального округа, устанавливающие бюджетные обязательства, реализация которых осуществляется за счет средств бюджета муниципального округа, противоречат настоящему решению, применяется настоящее решение.</w:t>
      </w:r>
    </w:p>
    <w:p w:rsidR="007D7FC2" w:rsidRDefault="007D7FC2" w:rsidP="007D7FC2">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Нормативные правовые акты Богородского муниципального округа подлежат приведению в соответствие с настоящим решением в двухмесячный срок со дня вступления в силу настоящего решения.</w:t>
      </w:r>
    </w:p>
    <w:p w:rsidR="006A619F" w:rsidRPr="00824E59" w:rsidRDefault="006A619F" w:rsidP="006A619F">
      <w:pPr>
        <w:pStyle w:val="ConsNormal"/>
        <w:ind w:firstLine="709"/>
        <w:jc w:val="both"/>
        <w:rPr>
          <w:rFonts w:ascii="Times New Roman" w:hAnsi="Times New Roman" w:cs="Times New Roman"/>
          <w:sz w:val="28"/>
          <w:szCs w:val="28"/>
        </w:rPr>
      </w:pPr>
      <w:r w:rsidRPr="00824E59">
        <w:rPr>
          <w:rFonts w:ascii="Times New Roman" w:hAnsi="Times New Roman" w:cs="Times New Roman"/>
          <w:b/>
          <w:bCs/>
          <w:sz w:val="28"/>
          <w:szCs w:val="28"/>
        </w:rPr>
        <w:t>Статья 1</w:t>
      </w:r>
      <w:r w:rsidR="007D7FC2">
        <w:rPr>
          <w:rFonts w:ascii="Times New Roman" w:hAnsi="Times New Roman" w:cs="Times New Roman"/>
          <w:b/>
          <w:bCs/>
          <w:sz w:val="28"/>
          <w:szCs w:val="28"/>
        </w:rPr>
        <w:t>7</w:t>
      </w:r>
    </w:p>
    <w:p w:rsidR="006A619F" w:rsidRPr="00824E59" w:rsidRDefault="006A619F" w:rsidP="006A619F">
      <w:pPr>
        <w:pStyle w:val="ConsNormal"/>
        <w:ind w:firstLine="709"/>
        <w:jc w:val="both"/>
        <w:rPr>
          <w:rFonts w:ascii="Times New Roman" w:hAnsi="Times New Roman" w:cs="Times New Roman"/>
          <w:sz w:val="28"/>
          <w:szCs w:val="28"/>
        </w:rPr>
      </w:pPr>
      <w:r w:rsidRPr="00824E59">
        <w:rPr>
          <w:rFonts w:ascii="Times New Roman" w:hAnsi="Times New Roman" w:cs="Times New Roman"/>
          <w:sz w:val="28"/>
          <w:szCs w:val="28"/>
        </w:rPr>
        <w:t>1. Настоящее решение вступает в силу с 01 января 202</w:t>
      </w:r>
      <w:r w:rsidR="00824E59" w:rsidRPr="00824E59">
        <w:rPr>
          <w:rFonts w:ascii="Times New Roman" w:hAnsi="Times New Roman" w:cs="Times New Roman"/>
          <w:sz w:val="28"/>
          <w:szCs w:val="28"/>
        </w:rPr>
        <w:t>6</w:t>
      </w:r>
      <w:r w:rsidRPr="00824E59">
        <w:rPr>
          <w:rFonts w:ascii="Times New Roman" w:hAnsi="Times New Roman" w:cs="Times New Roman"/>
          <w:sz w:val="28"/>
          <w:szCs w:val="28"/>
        </w:rPr>
        <w:t xml:space="preserve"> г.</w:t>
      </w:r>
    </w:p>
    <w:p w:rsidR="006A619F" w:rsidRPr="00CC6865" w:rsidRDefault="006A619F" w:rsidP="006A619F">
      <w:pPr>
        <w:ind w:firstLine="709"/>
        <w:jc w:val="both"/>
        <w:rPr>
          <w:sz w:val="28"/>
          <w:szCs w:val="28"/>
        </w:rPr>
      </w:pPr>
      <w:r w:rsidRPr="00824E59">
        <w:rPr>
          <w:sz w:val="28"/>
          <w:szCs w:val="28"/>
        </w:rPr>
        <w:t xml:space="preserve">2. Опубликовать настоящее решение в сетевом издании </w:t>
      </w:r>
      <w:r w:rsidR="00AF24E4">
        <w:rPr>
          <w:sz w:val="28"/>
          <w:szCs w:val="28"/>
        </w:rPr>
        <w:t>«</w:t>
      </w:r>
      <w:r w:rsidRPr="00824E59">
        <w:rPr>
          <w:sz w:val="28"/>
          <w:szCs w:val="28"/>
        </w:rPr>
        <w:t>Богородская газета</w:t>
      </w:r>
      <w:r w:rsidR="00AF24E4">
        <w:rPr>
          <w:sz w:val="28"/>
          <w:szCs w:val="28"/>
        </w:rPr>
        <w:t>»</w:t>
      </w:r>
      <w:r w:rsidRPr="00824E59">
        <w:rPr>
          <w:sz w:val="28"/>
          <w:szCs w:val="28"/>
        </w:rPr>
        <w:t>.</w:t>
      </w:r>
    </w:p>
    <w:p w:rsidR="00590B4A" w:rsidRDefault="00590B4A">
      <w:pPr>
        <w:ind w:firstLine="709"/>
        <w:jc w:val="both"/>
        <w:rPr>
          <w:sz w:val="28"/>
          <w:szCs w:val="28"/>
        </w:rPr>
      </w:pPr>
    </w:p>
    <w:p w:rsidR="00AF24E4" w:rsidRDefault="00AF24E4">
      <w:pPr>
        <w:ind w:firstLine="709"/>
        <w:jc w:val="both"/>
        <w:rPr>
          <w:sz w:val="28"/>
          <w:szCs w:val="28"/>
        </w:rPr>
      </w:pPr>
    </w:p>
    <w:p w:rsidR="00AF24E4" w:rsidRDefault="00AF24E4">
      <w:pPr>
        <w:ind w:firstLine="709"/>
        <w:jc w:val="both"/>
        <w:rPr>
          <w:sz w:val="28"/>
          <w:szCs w:val="28"/>
        </w:rPr>
      </w:pPr>
    </w:p>
    <w:p w:rsidR="005D7996" w:rsidRPr="00CE4E2D" w:rsidRDefault="005D7996" w:rsidP="005D7996">
      <w:pPr>
        <w:jc w:val="both"/>
        <w:rPr>
          <w:sz w:val="28"/>
          <w:szCs w:val="28"/>
        </w:rPr>
      </w:pPr>
      <w:r w:rsidRPr="00CE4E2D">
        <w:rPr>
          <w:sz w:val="28"/>
          <w:szCs w:val="28"/>
        </w:rPr>
        <w:t>Председатель Совета депутатов                                                        А.Н.Резвяков</w:t>
      </w:r>
    </w:p>
    <w:p w:rsidR="005D7996" w:rsidRPr="00CE4E2D" w:rsidRDefault="005D7996" w:rsidP="005D7996">
      <w:pPr>
        <w:jc w:val="both"/>
        <w:rPr>
          <w:sz w:val="28"/>
          <w:szCs w:val="28"/>
        </w:rPr>
      </w:pPr>
    </w:p>
    <w:p w:rsidR="005D7996" w:rsidRPr="00CE4E2D" w:rsidRDefault="005D7996" w:rsidP="005D7996">
      <w:pPr>
        <w:jc w:val="both"/>
        <w:rPr>
          <w:sz w:val="28"/>
          <w:szCs w:val="28"/>
        </w:rPr>
      </w:pPr>
    </w:p>
    <w:p w:rsidR="00AF24E4" w:rsidRPr="00CE4E2D" w:rsidRDefault="00AF24E4" w:rsidP="005D7996">
      <w:pPr>
        <w:jc w:val="both"/>
        <w:rPr>
          <w:sz w:val="28"/>
          <w:szCs w:val="28"/>
        </w:rPr>
      </w:pPr>
    </w:p>
    <w:p w:rsidR="005D7996" w:rsidRPr="00CE4E2D" w:rsidRDefault="005D7996" w:rsidP="005D7996">
      <w:pPr>
        <w:tabs>
          <w:tab w:val="left" w:pos="568"/>
        </w:tabs>
        <w:jc w:val="both"/>
        <w:rPr>
          <w:sz w:val="28"/>
          <w:szCs w:val="28"/>
        </w:rPr>
      </w:pPr>
      <w:r w:rsidRPr="00CE4E2D">
        <w:rPr>
          <w:sz w:val="28"/>
          <w:szCs w:val="28"/>
        </w:rPr>
        <w:t>Глава местного самоуправления                                                      А.Н.Коротков</w:t>
      </w:r>
    </w:p>
    <w:p w:rsidR="00D1475D" w:rsidRDefault="00D1475D">
      <w:pPr>
        <w:jc w:val="both"/>
        <w:rPr>
          <w:sz w:val="28"/>
          <w:szCs w:val="28"/>
        </w:rPr>
      </w:pPr>
    </w:p>
    <w:p w:rsidR="00D1475D" w:rsidRPr="00F8052B" w:rsidRDefault="00D1475D" w:rsidP="00D1475D">
      <w:pPr>
        <w:ind w:firstLine="709"/>
        <w:jc w:val="both"/>
        <w:rPr>
          <w:sz w:val="28"/>
          <w:szCs w:val="28"/>
        </w:rPr>
        <w:sectPr w:rsidR="00D1475D" w:rsidRPr="00F8052B" w:rsidSect="00D1475D">
          <w:headerReference w:type="even" r:id="rId7"/>
          <w:headerReference w:type="default" r:id="rId8"/>
          <w:headerReference w:type="first" r:id="rId9"/>
          <w:pgSz w:w="11906" w:h="16838" w:code="9"/>
          <w:pgMar w:top="1134" w:right="850" w:bottom="1134" w:left="1701" w:header="306" w:footer="709" w:gutter="0"/>
          <w:cols w:space="708"/>
          <w:titlePg/>
          <w:docGrid w:linePitch="360"/>
        </w:sectPr>
      </w:pPr>
    </w:p>
    <w:p w:rsidR="00E0674D" w:rsidRDefault="00E0674D" w:rsidP="00BF02BC">
      <w:pPr>
        <w:tabs>
          <w:tab w:val="left" w:pos="568"/>
        </w:tabs>
        <w:ind w:firstLine="5580"/>
        <w:jc w:val="center"/>
        <w:rPr>
          <w:sz w:val="28"/>
          <w:szCs w:val="28"/>
        </w:rPr>
      </w:pPr>
    </w:p>
    <w:sectPr w:rsidR="00E0674D" w:rsidSect="006A199D">
      <w:headerReference w:type="default" r:id="rId10"/>
      <w:pgSz w:w="11906" w:h="16838"/>
      <w:pgMar w:top="1134" w:right="849"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B434A" w:rsidRDefault="00FB434A">
      <w:r>
        <w:separator/>
      </w:r>
    </w:p>
  </w:endnote>
  <w:endnote w:type="continuationSeparator" w:id="0">
    <w:p w:rsidR="00FB434A" w:rsidRDefault="00FB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B434A" w:rsidRDefault="00FB434A">
      <w:r>
        <w:separator/>
      </w:r>
    </w:p>
  </w:footnote>
  <w:footnote w:type="continuationSeparator" w:id="0">
    <w:p w:rsidR="00FB434A" w:rsidRDefault="00FB43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77321" w:rsidRDefault="00AC1803" w:rsidP="006A199D">
    <w:pPr>
      <w:pStyle w:val="afe"/>
      <w:framePr w:wrap="around" w:vAnchor="text" w:hAnchor="margin" w:xAlign="center" w:y="1"/>
      <w:rPr>
        <w:rStyle w:val="a4"/>
      </w:rPr>
    </w:pPr>
    <w:r>
      <w:rPr>
        <w:rStyle w:val="a4"/>
      </w:rPr>
      <w:fldChar w:fldCharType="begin"/>
    </w:r>
    <w:r w:rsidR="00177321">
      <w:rPr>
        <w:rStyle w:val="a4"/>
      </w:rPr>
      <w:instrText xml:space="preserve">PAGE  </w:instrText>
    </w:r>
    <w:r>
      <w:rPr>
        <w:rStyle w:val="a4"/>
      </w:rPr>
      <w:fldChar w:fldCharType="end"/>
    </w:r>
  </w:p>
  <w:p w:rsidR="00177321" w:rsidRDefault="00177321">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77321" w:rsidRDefault="00AC1803" w:rsidP="006A199D">
    <w:pPr>
      <w:pStyle w:val="afe"/>
      <w:jc w:val="center"/>
    </w:pPr>
    <w:r>
      <w:fldChar w:fldCharType="begin"/>
    </w:r>
    <w:r w:rsidR="0088491F">
      <w:instrText>PAGE   \* MERGEFORMAT</w:instrText>
    </w:r>
    <w:r>
      <w:fldChar w:fldCharType="separate"/>
    </w:r>
    <w:r w:rsidR="00324148">
      <w:rPr>
        <w:noProof/>
      </w:rPr>
      <w:t>11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77321" w:rsidRDefault="00590B4A" w:rsidP="006A199D">
    <w:pPr>
      <w:pStyle w:val="afe"/>
      <w:jc w:val="center"/>
    </w:pPr>
    <w:r>
      <w:rPr>
        <w:b/>
        <w:bCs/>
        <w:noProof/>
        <w:lang w:eastAsia="ru-RU"/>
      </w:rPr>
      <w:drawing>
        <wp:inline distT="0" distB="0" distL="0" distR="0">
          <wp:extent cx="561975" cy="685800"/>
          <wp:effectExtent l="0" t="0" r="9525" b="0"/>
          <wp:docPr id="205209721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0768867"/>
      <w:docPartObj>
        <w:docPartGallery w:val="Page Numbers (Top of Page)"/>
        <w:docPartUnique/>
      </w:docPartObj>
    </w:sdtPr>
    <w:sdtContent>
      <w:p w:rsidR="00E871FA" w:rsidRDefault="00AC1803">
        <w:pPr>
          <w:pStyle w:val="afe"/>
          <w:jc w:val="center"/>
        </w:pPr>
        <w:r>
          <w:fldChar w:fldCharType="begin"/>
        </w:r>
        <w:r w:rsidR="00E871FA">
          <w:instrText>PAGE   \* MERGEFORMAT</w:instrText>
        </w:r>
        <w:r>
          <w:fldChar w:fldCharType="separate"/>
        </w:r>
        <w:r w:rsidR="00417F30">
          <w:rPr>
            <w:noProof/>
          </w:rPr>
          <w:t>3</w:t>
        </w:r>
        <w:r>
          <w:fldChar w:fldCharType="end"/>
        </w:r>
      </w:p>
    </w:sdtContent>
  </w:sdt>
  <w:p w:rsidR="00177321" w:rsidRDefault="00177321">
    <w:pPr>
      <w:pStyle w:val="af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357"/>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0674D"/>
    <w:rsid w:val="00003338"/>
    <w:rsid w:val="00025BA9"/>
    <w:rsid w:val="0004355B"/>
    <w:rsid w:val="0005613E"/>
    <w:rsid w:val="00073B51"/>
    <w:rsid w:val="000B0712"/>
    <w:rsid w:val="000C5F6D"/>
    <w:rsid w:val="000D66FF"/>
    <w:rsid w:val="00131973"/>
    <w:rsid w:val="00141F87"/>
    <w:rsid w:val="0016067B"/>
    <w:rsid w:val="00160C05"/>
    <w:rsid w:val="00177321"/>
    <w:rsid w:val="00183E5A"/>
    <w:rsid w:val="00196CB1"/>
    <w:rsid w:val="001A21DD"/>
    <w:rsid w:val="001C29F1"/>
    <w:rsid w:val="001D2174"/>
    <w:rsid w:val="001D4C6E"/>
    <w:rsid w:val="001F0BB3"/>
    <w:rsid w:val="001F4B04"/>
    <w:rsid w:val="00200A42"/>
    <w:rsid w:val="00235CEF"/>
    <w:rsid w:val="0025621B"/>
    <w:rsid w:val="00267B3E"/>
    <w:rsid w:val="00295391"/>
    <w:rsid w:val="002D0732"/>
    <w:rsid w:val="002D1B34"/>
    <w:rsid w:val="00303F5F"/>
    <w:rsid w:val="00324148"/>
    <w:rsid w:val="00330151"/>
    <w:rsid w:val="00395ADF"/>
    <w:rsid w:val="003D52FC"/>
    <w:rsid w:val="003E4665"/>
    <w:rsid w:val="003F2524"/>
    <w:rsid w:val="003F3BCF"/>
    <w:rsid w:val="00414531"/>
    <w:rsid w:val="00417F30"/>
    <w:rsid w:val="00442135"/>
    <w:rsid w:val="00470D93"/>
    <w:rsid w:val="00497E82"/>
    <w:rsid w:val="004E0937"/>
    <w:rsid w:val="004E431E"/>
    <w:rsid w:val="004E73B6"/>
    <w:rsid w:val="005334A5"/>
    <w:rsid w:val="00544F6E"/>
    <w:rsid w:val="00590B4A"/>
    <w:rsid w:val="005A7777"/>
    <w:rsid w:val="005B2950"/>
    <w:rsid w:val="005D7996"/>
    <w:rsid w:val="005F175F"/>
    <w:rsid w:val="005F3E8B"/>
    <w:rsid w:val="00620C42"/>
    <w:rsid w:val="006478E2"/>
    <w:rsid w:val="00657364"/>
    <w:rsid w:val="00675D96"/>
    <w:rsid w:val="006A199D"/>
    <w:rsid w:val="006A619F"/>
    <w:rsid w:val="006B4C13"/>
    <w:rsid w:val="00706F53"/>
    <w:rsid w:val="0071098A"/>
    <w:rsid w:val="00715445"/>
    <w:rsid w:val="00715F4C"/>
    <w:rsid w:val="00744AF5"/>
    <w:rsid w:val="0079011D"/>
    <w:rsid w:val="007A3506"/>
    <w:rsid w:val="007B409B"/>
    <w:rsid w:val="007D3848"/>
    <w:rsid w:val="007D7FC2"/>
    <w:rsid w:val="007F6701"/>
    <w:rsid w:val="007F6E78"/>
    <w:rsid w:val="00824E59"/>
    <w:rsid w:val="00851EF7"/>
    <w:rsid w:val="00856704"/>
    <w:rsid w:val="00861388"/>
    <w:rsid w:val="0088491F"/>
    <w:rsid w:val="008A6F63"/>
    <w:rsid w:val="008B5809"/>
    <w:rsid w:val="008E349B"/>
    <w:rsid w:val="009340A1"/>
    <w:rsid w:val="00970444"/>
    <w:rsid w:val="00980551"/>
    <w:rsid w:val="009832BB"/>
    <w:rsid w:val="009A5754"/>
    <w:rsid w:val="009D76F5"/>
    <w:rsid w:val="00A332E9"/>
    <w:rsid w:val="00A41AF9"/>
    <w:rsid w:val="00A828B9"/>
    <w:rsid w:val="00AC1803"/>
    <w:rsid w:val="00AD1BD5"/>
    <w:rsid w:val="00AF24E4"/>
    <w:rsid w:val="00AF7FC8"/>
    <w:rsid w:val="00B20EAF"/>
    <w:rsid w:val="00B23E29"/>
    <w:rsid w:val="00B36971"/>
    <w:rsid w:val="00B45569"/>
    <w:rsid w:val="00B73971"/>
    <w:rsid w:val="00BB1D4F"/>
    <w:rsid w:val="00BB7A29"/>
    <w:rsid w:val="00BF02BC"/>
    <w:rsid w:val="00BF345D"/>
    <w:rsid w:val="00BF4B21"/>
    <w:rsid w:val="00C139A3"/>
    <w:rsid w:val="00C42AC9"/>
    <w:rsid w:val="00C44B21"/>
    <w:rsid w:val="00C4704C"/>
    <w:rsid w:val="00C80A72"/>
    <w:rsid w:val="00CA0DEC"/>
    <w:rsid w:val="00CB7AFD"/>
    <w:rsid w:val="00CC6865"/>
    <w:rsid w:val="00CD77A4"/>
    <w:rsid w:val="00D01F19"/>
    <w:rsid w:val="00D12DD6"/>
    <w:rsid w:val="00D1475D"/>
    <w:rsid w:val="00D33D24"/>
    <w:rsid w:val="00D5405C"/>
    <w:rsid w:val="00D63881"/>
    <w:rsid w:val="00DC2A2B"/>
    <w:rsid w:val="00E05A44"/>
    <w:rsid w:val="00E0674D"/>
    <w:rsid w:val="00E404A2"/>
    <w:rsid w:val="00E51541"/>
    <w:rsid w:val="00E56238"/>
    <w:rsid w:val="00E715C1"/>
    <w:rsid w:val="00E72E09"/>
    <w:rsid w:val="00E871FA"/>
    <w:rsid w:val="00EC10D3"/>
    <w:rsid w:val="00F15C2D"/>
    <w:rsid w:val="00F62E9F"/>
    <w:rsid w:val="00F764B3"/>
    <w:rsid w:val="00F831C9"/>
    <w:rsid w:val="00FA778D"/>
    <w:rsid w:val="00FB4093"/>
    <w:rsid w:val="00FB434A"/>
    <w:rsid w:val="00FD28A3"/>
    <w:rsid w:val="00FF7B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51BCFE3D-023D-42BF-A725-99A13027D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NSimSun" w:hAnsi="Times New Roman" w:cs="Arial"/>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BBE"/>
    <w:rPr>
      <w:rFonts w:eastAsia="Times New Roman" w:cs="Times New Roman"/>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сещённая гиперссылка"/>
    <w:rsid w:val="007A1BBE"/>
    <w:rPr>
      <w:color w:val="800080"/>
      <w:u w:val="single"/>
    </w:rPr>
  </w:style>
  <w:style w:type="character" w:customStyle="1" w:styleId="-">
    <w:name w:val="Интернет-ссылка"/>
    <w:rsid w:val="007A1BBE"/>
    <w:rPr>
      <w:color w:val="0000FF"/>
      <w:u w:val="single"/>
    </w:rPr>
  </w:style>
  <w:style w:type="character" w:styleId="a4">
    <w:name w:val="page number"/>
    <w:basedOn w:val="a0"/>
    <w:qFormat/>
    <w:rsid w:val="007A1BBE"/>
  </w:style>
  <w:style w:type="character" w:customStyle="1" w:styleId="a5">
    <w:name w:val="Выделение жирным"/>
    <w:qFormat/>
    <w:rsid w:val="007A1BBE"/>
    <w:rPr>
      <w:b/>
      <w:bCs/>
    </w:rPr>
  </w:style>
  <w:style w:type="character" w:customStyle="1" w:styleId="1">
    <w:name w:val="Заголовок 1 Знак"/>
    <w:qFormat/>
    <w:rsid w:val="007A1BBE"/>
    <w:rPr>
      <w:rFonts w:ascii="Arial" w:hAnsi="Arial" w:cs="Arial"/>
      <w:b/>
      <w:bCs/>
      <w:color w:val="000080"/>
      <w:sz w:val="24"/>
      <w:szCs w:val="24"/>
      <w:lang w:val="ru-RU" w:bidi="ar-SA"/>
    </w:rPr>
  </w:style>
  <w:style w:type="character" w:customStyle="1" w:styleId="2">
    <w:name w:val="Заголовок 2 Знак"/>
    <w:qFormat/>
    <w:rsid w:val="007A1BBE"/>
    <w:rPr>
      <w:rFonts w:ascii="Cambria" w:hAnsi="Cambria" w:cs="Cambria"/>
      <w:b/>
      <w:bCs/>
      <w:i/>
      <w:iCs/>
      <w:sz w:val="28"/>
      <w:szCs w:val="28"/>
      <w:lang w:val="ru-RU" w:bidi="ar-SA"/>
    </w:rPr>
  </w:style>
  <w:style w:type="character" w:customStyle="1" w:styleId="3">
    <w:name w:val="Заголовок 3 Знак"/>
    <w:qFormat/>
    <w:rsid w:val="007A1BBE"/>
    <w:rPr>
      <w:rFonts w:ascii="Cambria" w:eastAsia="Calibri" w:hAnsi="Cambria" w:cs="Cambria"/>
      <w:b/>
      <w:bCs/>
      <w:color w:val="4F81BD"/>
      <w:sz w:val="22"/>
      <w:szCs w:val="22"/>
      <w:lang w:val="ru-RU" w:bidi="ar-SA"/>
    </w:rPr>
  </w:style>
  <w:style w:type="character" w:customStyle="1" w:styleId="4">
    <w:name w:val="Заголовок 4 Знак"/>
    <w:qFormat/>
    <w:rsid w:val="007A1BBE"/>
    <w:rPr>
      <w:b/>
      <w:bCs/>
      <w:kern w:val="2"/>
      <w:sz w:val="28"/>
      <w:szCs w:val="28"/>
      <w:lang w:val="ru-RU" w:bidi="ar-SA"/>
    </w:rPr>
  </w:style>
  <w:style w:type="character" w:customStyle="1" w:styleId="5">
    <w:name w:val="Заголовок 5 Знак"/>
    <w:qFormat/>
    <w:rsid w:val="007A1BBE"/>
    <w:rPr>
      <w:b/>
      <w:bCs/>
      <w:i/>
      <w:iCs/>
      <w:sz w:val="26"/>
      <w:szCs w:val="26"/>
      <w:lang w:val="ru-RU" w:bidi="ar-SA"/>
    </w:rPr>
  </w:style>
  <w:style w:type="character" w:customStyle="1" w:styleId="6">
    <w:name w:val="Заголовок 6 Знак"/>
    <w:qFormat/>
    <w:rsid w:val="007A1BBE"/>
    <w:rPr>
      <w:rFonts w:ascii="Calibri" w:hAnsi="Calibri" w:cs="Calibri"/>
      <w:b/>
      <w:bCs/>
      <w:sz w:val="22"/>
      <w:szCs w:val="22"/>
      <w:lang w:val="ru-RU" w:bidi="ar-SA"/>
    </w:rPr>
  </w:style>
  <w:style w:type="character" w:customStyle="1" w:styleId="7">
    <w:name w:val="Заголовок 7 Знак"/>
    <w:qFormat/>
    <w:rsid w:val="007A1BBE"/>
    <w:rPr>
      <w:rFonts w:ascii="Calibri" w:hAnsi="Calibri" w:cs="Calibri"/>
      <w:sz w:val="24"/>
      <w:szCs w:val="24"/>
      <w:lang w:val="ru-RU" w:bidi="ar-SA"/>
    </w:rPr>
  </w:style>
  <w:style w:type="character" w:customStyle="1" w:styleId="8">
    <w:name w:val="Заголовок 8 Знак"/>
    <w:qFormat/>
    <w:rsid w:val="007A1BBE"/>
    <w:rPr>
      <w:rFonts w:ascii="Calibri" w:hAnsi="Calibri" w:cs="Calibri"/>
      <w:i/>
      <w:iCs/>
      <w:sz w:val="24"/>
      <w:szCs w:val="24"/>
      <w:lang w:val="ru-RU" w:bidi="ar-SA"/>
    </w:rPr>
  </w:style>
  <w:style w:type="character" w:customStyle="1" w:styleId="9">
    <w:name w:val="Заголовок 9 Знак"/>
    <w:qFormat/>
    <w:rsid w:val="007A1BBE"/>
    <w:rPr>
      <w:rFonts w:ascii="Cambria" w:hAnsi="Cambria" w:cs="Cambria"/>
      <w:sz w:val="22"/>
      <w:szCs w:val="22"/>
      <w:lang w:val="ru-RU" w:bidi="ar-SA"/>
    </w:rPr>
  </w:style>
  <w:style w:type="character" w:customStyle="1" w:styleId="a6">
    <w:name w:val="Текст выноски Знак"/>
    <w:qFormat/>
    <w:rsid w:val="007A1BBE"/>
    <w:rPr>
      <w:rFonts w:ascii="Tahoma" w:hAnsi="Tahoma" w:cs="Tahoma"/>
      <w:sz w:val="16"/>
      <w:szCs w:val="16"/>
      <w:lang w:val="ru-RU" w:bidi="ar-SA"/>
    </w:rPr>
  </w:style>
  <w:style w:type="character" w:customStyle="1" w:styleId="a7">
    <w:name w:val="Верхний колонтитул Знак"/>
    <w:uiPriority w:val="99"/>
    <w:qFormat/>
    <w:rsid w:val="007A1BBE"/>
    <w:rPr>
      <w:sz w:val="24"/>
      <w:szCs w:val="24"/>
      <w:lang w:val="ru-RU" w:bidi="ar-SA"/>
    </w:rPr>
  </w:style>
  <w:style w:type="character" w:customStyle="1" w:styleId="a8">
    <w:name w:val="Нижний колонтитул Знак"/>
    <w:qFormat/>
    <w:rsid w:val="007A1BBE"/>
    <w:rPr>
      <w:sz w:val="24"/>
      <w:szCs w:val="24"/>
      <w:lang w:val="ru-RU" w:bidi="ar-SA"/>
    </w:rPr>
  </w:style>
  <w:style w:type="character" w:customStyle="1" w:styleId="a9">
    <w:name w:val="Основной текст Знак"/>
    <w:qFormat/>
    <w:rsid w:val="007A1BBE"/>
    <w:rPr>
      <w:sz w:val="28"/>
      <w:szCs w:val="28"/>
      <w:lang w:val="ru-RU" w:bidi="ar-SA"/>
    </w:rPr>
  </w:style>
  <w:style w:type="character" w:customStyle="1" w:styleId="aa">
    <w:name w:val="Название Знак"/>
    <w:qFormat/>
    <w:rsid w:val="007A1BBE"/>
    <w:rPr>
      <w:rFonts w:ascii="Cambria" w:hAnsi="Cambria" w:cs="Cambria"/>
      <w:b/>
      <w:bCs/>
      <w:kern w:val="2"/>
      <w:sz w:val="32"/>
      <w:szCs w:val="32"/>
      <w:lang w:bidi="ar-SA"/>
    </w:rPr>
  </w:style>
  <w:style w:type="character" w:customStyle="1" w:styleId="ab">
    <w:name w:val="Подзаголовок Знак"/>
    <w:qFormat/>
    <w:rsid w:val="007A1BBE"/>
    <w:rPr>
      <w:rFonts w:ascii="Cambria" w:hAnsi="Cambria" w:cs="Cambria"/>
      <w:sz w:val="24"/>
      <w:szCs w:val="24"/>
      <w:lang w:bidi="ar-SA"/>
    </w:rPr>
  </w:style>
  <w:style w:type="character" w:customStyle="1" w:styleId="ac">
    <w:name w:val="Без интервала Знак"/>
    <w:qFormat/>
    <w:rsid w:val="007A1BBE"/>
    <w:rPr>
      <w:rFonts w:ascii="Calibri" w:eastAsia="Calibri" w:hAnsi="Calibri" w:cs="Calibri"/>
      <w:sz w:val="22"/>
      <w:szCs w:val="22"/>
      <w:lang w:val="ru-RU" w:bidi="ar-SA"/>
    </w:rPr>
  </w:style>
  <w:style w:type="character" w:customStyle="1" w:styleId="20">
    <w:name w:val="Цитата 2 Знак"/>
    <w:qFormat/>
    <w:rsid w:val="007A1BBE"/>
    <w:rPr>
      <w:rFonts w:ascii="Calibri" w:eastAsia="Calibri" w:hAnsi="Calibri" w:cs="Calibri"/>
      <w:i/>
      <w:iCs/>
      <w:color w:val="000000"/>
      <w:sz w:val="22"/>
      <w:szCs w:val="22"/>
      <w:lang w:bidi="ar-SA"/>
    </w:rPr>
  </w:style>
  <w:style w:type="character" w:customStyle="1" w:styleId="ad">
    <w:name w:val="Выделенная цитата Знак"/>
    <w:qFormat/>
    <w:rsid w:val="007A1BBE"/>
    <w:rPr>
      <w:rFonts w:ascii="Calibri" w:eastAsia="Calibri" w:hAnsi="Calibri" w:cs="Calibri"/>
      <w:b/>
      <w:bCs/>
      <w:i/>
      <w:iCs/>
      <w:color w:val="4F81BD"/>
      <w:sz w:val="22"/>
      <w:szCs w:val="22"/>
      <w:lang w:bidi="ar-SA"/>
    </w:rPr>
  </w:style>
  <w:style w:type="character" w:customStyle="1" w:styleId="WW8Num26z0">
    <w:name w:val="WW8Num26z0"/>
    <w:qFormat/>
    <w:rsid w:val="007A1BBE"/>
  </w:style>
  <w:style w:type="character" w:customStyle="1" w:styleId="WW8Num10z0">
    <w:name w:val="WW8Num10z0"/>
    <w:qFormat/>
    <w:rsid w:val="007A1BBE"/>
    <w:rPr>
      <w:rFonts w:ascii="Times New Roman" w:hAnsi="Times New Roman" w:cs="Times New Roman"/>
      <w:bCs/>
      <w:sz w:val="24"/>
      <w:szCs w:val="24"/>
    </w:rPr>
  </w:style>
  <w:style w:type="character" w:customStyle="1" w:styleId="WW8Num22z0">
    <w:name w:val="WW8Num22z0"/>
    <w:qFormat/>
    <w:rsid w:val="007A1BBE"/>
    <w:rPr>
      <w:color w:val="000000"/>
    </w:rPr>
  </w:style>
  <w:style w:type="character" w:customStyle="1" w:styleId="WW8Num21z0">
    <w:name w:val="WW8Num21z0"/>
    <w:qFormat/>
    <w:rsid w:val="007A1BBE"/>
  </w:style>
  <w:style w:type="paragraph" w:customStyle="1" w:styleId="10">
    <w:name w:val="Заголовок1"/>
    <w:next w:val="a"/>
    <w:qFormat/>
    <w:rsid w:val="007A1BBE"/>
    <w:rPr>
      <w:rFonts w:ascii="Arial" w:eastAsia="Times New Roman" w:hAnsi="Arial"/>
      <w:sz w:val="28"/>
      <w:szCs w:val="28"/>
      <w:lang w:bidi="ar-SA"/>
    </w:rPr>
  </w:style>
  <w:style w:type="paragraph" w:styleId="ae">
    <w:name w:val="Body Text"/>
    <w:basedOn w:val="a"/>
    <w:rsid w:val="007A1BBE"/>
    <w:pPr>
      <w:jc w:val="both"/>
    </w:pPr>
    <w:rPr>
      <w:sz w:val="28"/>
      <w:szCs w:val="28"/>
    </w:rPr>
  </w:style>
  <w:style w:type="paragraph" w:styleId="af">
    <w:name w:val="List"/>
    <w:basedOn w:val="ae"/>
    <w:rsid w:val="007A1BBE"/>
    <w:rPr>
      <w:rFonts w:cs="Arial"/>
    </w:rPr>
  </w:style>
  <w:style w:type="paragraph" w:styleId="af0">
    <w:name w:val="caption"/>
    <w:basedOn w:val="a"/>
    <w:qFormat/>
    <w:rsid w:val="00715F4C"/>
    <w:pPr>
      <w:suppressLineNumbers/>
      <w:spacing w:before="120" w:after="120"/>
    </w:pPr>
    <w:rPr>
      <w:rFonts w:cs="Arial"/>
      <w:i/>
      <w:iCs/>
    </w:rPr>
  </w:style>
  <w:style w:type="paragraph" w:styleId="af1">
    <w:name w:val="index heading"/>
    <w:basedOn w:val="a"/>
    <w:qFormat/>
    <w:rsid w:val="007A1BBE"/>
    <w:pPr>
      <w:suppressLineNumbers/>
    </w:pPr>
    <w:rPr>
      <w:rFonts w:cs="Arial"/>
    </w:rPr>
  </w:style>
  <w:style w:type="paragraph" w:customStyle="1" w:styleId="11">
    <w:name w:val="Заголовок 11"/>
    <w:basedOn w:val="a"/>
    <w:next w:val="a"/>
    <w:qFormat/>
    <w:rsid w:val="007A1BBE"/>
    <w:pPr>
      <w:widowControl w:val="0"/>
      <w:spacing w:before="108" w:after="108"/>
      <w:jc w:val="center"/>
      <w:outlineLvl w:val="0"/>
    </w:pPr>
    <w:rPr>
      <w:rFonts w:ascii="Arial" w:hAnsi="Arial" w:cs="Arial"/>
      <w:b/>
      <w:bCs/>
      <w:color w:val="000080"/>
    </w:rPr>
  </w:style>
  <w:style w:type="paragraph" w:customStyle="1" w:styleId="21">
    <w:name w:val="Заголовок 21"/>
    <w:basedOn w:val="a"/>
    <w:next w:val="a"/>
    <w:qFormat/>
    <w:rsid w:val="007A1BBE"/>
    <w:pPr>
      <w:keepNext/>
      <w:spacing w:before="240" w:after="60"/>
      <w:outlineLvl w:val="1"/>
    </w:pPr>
    <w:rPr>
      <w:rFonts w:ascii="Cambria" w:hAnsi="Cambria" w:cs="Cambria"/>
      <w:b/>
      <w:bCs/>
      <w:i/>
      <w:iCs/>
      <w:sz w:val="28"/>
      <w:szCs w:val="28"/>
    </w:rPr>
  </w:style>
  <w:style w:type="paragraph" w:customStyle="1" w:styleId="31">
    <w:name w:val="Заголовок 31"/>
    <w:basedOn w:val="a"/>
    <w:next w:val="a"/>
    <w:qFormat/>
    <w:rsid w:val="007A1BBE"/>
    <w:pPr>
      <w:keepNext/>
      <w:keepLines/>
      <w:spacing w:before="200" w:line="276" w:lineRule="auto"/>
      <w:outlineLvl w:val="2"/>
    </w:pPr>
    <w:rPr>
      <w:rFonts w:ascii="Cambria" w:eastAsia="Calibri" w:hAnsi="Cambria" w:cs="Cambria"/>
      <w:b/>
      <w:bCs/>
      <w:color w:val="4F81BD"/>
      <w:sz w:val="22"/>
      <w:szCs w:val="22"/>
    </w:rPr>
  </w:style>
  <w:style w:type="paragraph" w:customStyle="1" w:styleId="41">
    <w:name w:val="Заголовок 41"/>
    <w:basedOn w:val="a"/>
    <w:next w:val="a"/>
    <w:qFormat/>
    <w:rsid w:val="007A1BBE"/>
    <w:pPr>
      <w:keepNext/>
      <w:spacing w:before="240" w:after="60"/>
      <w:textAlignment w:val="baseline"/>
      <w:outlineLvl w:val="3"/>
    </w:pPr>
    <w:rPr>
      <w:b/>
      <w:bCs/>
      <w:kern w:val="2"/>
      <w:sz w:val="28"/>
      <w:szCs w:val="28"/>
    </w:rPr>
  </w:style>
  <w:style w:type="paragraph" w:customStyle="1" w:styleId="51">
    <w:name w:val="Заголовок 51"/>
    <w:basedOn w:val="a"/>
    <w:next w:val="a"/>
    <w:qFormat/>
    <w:rsid w:val="007A1BBE"/>
    <w:pPr>
      <w:spacing w:before="240" w:after="60"/>
      <w:outlineLvl w:val="4"/>
    </w:pPr>
    <w:rPr>
      <w:b/>
      <w:bCs/>
      <w:i/>
      <w:iCs/>
      <w:sz w:val="26"/>
      <w:szCs w:val="26"/>
    </w:rPr>
  </w:style>
  <w:style w:type="paragraph" w:customStyle="1" w:styleId="61">
    <w:name w:val="Заголовок 61"/>
    <w:basedOn w:val="a"/>
    <w:next w:val="a"/>
    <w:qFormat/>
    <w:rsid w:val="007A1BBE"/>
    <w:pPr>
      <w:spacing w:before="240" w:after="60" w:line="276" w:lineRule="auto"/>
      <w:outlineLvl w:val="5"/>
    </w:pPr>
    <w:rPr>
      <w:rFonts w:ascii="Calibri" w:hAnsi="Calibri" w:cs="Calibri"/>
      <w:b/>
      <w:bCs/>
      <w:sz w:val="22"/>
      <w:szCs w:val="22"/>
    </w:rPr>
  </w:style>
  <w:style w:type="paragraph" w:customStyle="1" w:styleId="71">
    <w:name w:val="Заголовок 71"/>
    <w:basedOn w:val="a"/>
    <w:next w:val="a"/>
    <w:qFormat/>
    <w:rsid w:val="007A1BBE"/>
    <w:pPr>
      <w:spacing w:before="240" w:after="60" w:line="276" w:lineRule="auto"/>
      <w:outlineLvl w:val="6"/>
    </w:pPr>
    <w:rPr>
      <w:rFonts w:ascii="Calibri" w:hAnsi="Calibri" w:cs="Calibri"/>
    </w:rPr>
  </w:style>
  <w:style w:type="paragraph" w:customStyle="1" w:styleId="81">
    <w:name w:val="Заголовок 81"/>
    <w:basedOn w:val="a"/>
    <w:next w:val="a"/>
    <w:qFormat/>
    <w:rsid w:val="007A1BBE"/>
    <w:pPr>
      <w:spacing w:before="240" w:after="60" w:line="276" w:lineRule="auto"/>
      <w:outlineLvl w:val="7"/>
    </w:pPr>
    <w:rPr>
      <w:rFonts w:ascii="Calibri" w:hAnsi="Calibri" w:cs="Calibri"/>
      <w:i/>
      <w:iCs/>
    </w:rPr>
  </w:style>
  <w:style w:type="paragraph" w:customStyle="1" w:styleId="91">
    <w:name w:val="Заголовок 91"/>
    <w:basedOn w:val="a"/>
    <w:next w:val="a"/>
    <w:qFormat/>
    <w:rsid w:val="007A1BBE"/>
    <w:pPr>
      <w:spacing w:before="240" w:after="60" w:line="276" w:lineRule="auto"/>
      <w:outlineLvl w:val="8"/>
    </w:pPr>
    <w:rPr>
      <w:rFonts w:ascii="Cambria" w:hAnsi="Cambria" w:cs="Cambria"/>
      <w:sz w:val="22"/>
      <w:szCs w:val="22"/>
    </w:rPr>
  </w:style>
  <w:style w:type="paragraph" w:customStyle="1" w:styleId="12">
    <w:name w:val="Название объекта1"/>
    <w:basedOn w:val="a"/>
    <w:qFormat/>
    <w:rsid w:val="007A1BBE"/>
    <w:pPr>
      <w:suppressLineNumbers/>
      <w:spacing w:before="120" w:after="120"/>
    </w:pPr>
    <w:rPr>
      <w:rFonts w:cs="Arial"/>
      <w:i/>
      <w:iCs/>
    </w:rPr>
  </w:style>
  <w:style w:type="paragraph" w:styleId="af2">
    <w:name w:val="Balloon Text"/>
    <w:basedOn w:val="a"/>
    <w:qFormat/>
    <w:rsid w:val="007A1BBE"/>
    <w:rPr>
      <w:rFonts w:ascii="Tahoma" w:hAnsi="Tahoma" w:cs="Tahoma"/>
      <w:sz w:val="16"/>
      <w:szCs w:val="16"/>
    </w:rPr>
  </w:style>
  <w:style w:type="paragraph" w:customStyle="1" w:styleId="af3">
    <w:name w:val="Верхний и нижний колонтитулы"/>
    <w:basedOn w:val="a"/>
    <w:qFormat/>
    <w:rsid w:val="007A1BBE"/>
    <w:pPr>
      <w:suppressLineNumbers/>
      <w:tabs>
        <w:tab w:val="center" w:pos="4819"/>
        <w:tab w:val="right" w:pos="9638"/>
      </w:tabs>
    </w:pPr>
  </w:style>
  <w:style w:type="paragraph" w:customStyle="1" w:styleId="13">
    <w:name w:val="Верхний колонтитул1"/>
    <w:basedOn w:val="a"/>
    <w:qFormat/>
    <w:rsid w:val="007A1BBE"/>
  </w:style>
  <w:style w:type="paragraph" w:styleId="af4">
    <w:name w:val="Body Text Indent"/>
    <w:basedOn w:val="a"/>
    <w:rsid w:val="007A1BBE"/>
    <w:pPr>
      <w:jc w:val="both"/>
    </w:pPr>
    <w:rPr>
      <w:sz w:val="28"/>
      <w:szCs w:val="28"/>
    </w:rPr>
  </w:style>
  <w:style w:type="paragraph" w:customStyle="1" w:styleId="14">
    <w:name w:val="Нижний колонтитул1"/>
    <w:basedOn w:val="a"/>
    <w:qFormat/>
    <w:rsid w:val="007A1BBE"/>
  </w:style>
  <w:style w:type="paragraph" w:styleId="af5">
    <w:name w:val="Normal (Web)"/>
    <w:basedOn w:val="a"/>
    <w:qFormat/>
    <w:rsid w:val="007A1BBE"/>
    <w:pPr>
      <w:spacing w:before="280" w:after="280"/>
    </w:pPr>
  </w:style>
  <w:style w:type="paragraph" w:styleId="af6">
    <w:name w:val="Subtitle"/>
    <w:basedOn w:val="a"/>
    <w:next w:val="a"/>
    <w:qFormat/>
    <w:rsid w:val="007A1BBE"/>
    <w:pPr>
      <w:spacing w:after="60" w:line="276" w:lineRule="auto"/>
      <w:jc w:val="center"/>
      <w:outlineLvl w:val="1"/>
    </w:pPr>
    <w:rPr>
      <w:rFonts w:ascii="Cambria" w:hAnsi="Cambria" w:cs="Cambria"/>
    </w:rPr>
  </w:style>
  <w:style w:type="paragraph" w:customStyle="1" w:styleId="af7">
    <w:name w:val="Таблицы (моноширинный)"/>
    <w:basedOn w:val="a"/>
    <w:next w:val="a"/>
    <w:qFormat/>
    <w:rsid w:val="007A1BBE"/>
    <w:pPr>
      <w:widowControl w:val="0"/>
      <w:jc w:val="both"/>
    </w:pPr>
    <w:rPr>
      <w:rFonts w:ascii="Courier New" w:hAnsi="Courier New" w:cs="Courier New"/>
    </w:rPr>
  </w:style>
  <w:style w:type="paragraph" w:customStyle="1" w:styleId="ConsPlusNormal">
    <w:name w:val="ConsPlusNormal"/>
    <w:qFormat/>
    <w:rsid w:val="007A1BBE"/>
    <w:pPr>
      <w:ind w:firstLine="720"/>
    </w:pPr>
    <w:rPr>
      <w:rFonts w:ascii="Arial" w:eastAsia="Times New Roman" w:hAnsi="Arial"/>
      <w:sz w:val="20"/>
      <w:szCs w:val="20"/>
      <w:lang w:bidi="ar-SA"/>
    </w:rPr>
  </w:style>
  <w:style w:type="paragraph" w:customStyle="1" w:styleId="ConsNormal">
    <w:name w:val="ConsNormal"/>
    <w:qFormat/>
    <w:rsid w:val="007A1BBE"/>
    <w:pPr>
      <w:ind w:firstLine="720"/>
    </w:pPr>
    <w:rPr>
      <w:rFonts w:ascii="Arial" w:eastAsia="Times New Roman" w:hAnsi="Arial"/>
      <w:sz w:val="20"/>
      <w:szCs w:val="20"/>
      <w:lang w:bidi="ar-SA"/>
    </w:rPr>
  </w:style>
  <w:style w:type="paragraph" w:customStyle="1" w:styleId="Times12">
    <w:name w:val="Times12"/>
    <w:basedOn w:val="a"/>
    <w:qFormat/>
    <w:rsid w:val="007A1BBE"/>
    <w:pPr>
      <w:ind w:firstLine="709"/>
      <w:jc w:val="both"/>
    </w:pPr>
  </w:style>
  <w:style w:type="paragraph" w:styleId="af8">
    <w:name w:val="No Spacing"/>
    <w:basedOn w:val="a"/>
    <w:qFormat/>
    <w:rsid w:val="007A1BBE"/>
    <w:rPr>
      <w:rFonts w:ascii="Calibri" w:eastAsia="Calibri" w:hAnsi="Calibri" w:cs="Calibri"/>
      <w:sz w:val="22"/>
      <w:szCs w:val="22"/>
    </w:rPr>
  </w:style>
  <w:style w:type="paragraph" w:styleId="22">
    <w:name w:val="Quote"/>
    <w:basedOn w:val="a"/>
    <w:next w:val="a"/>
    <w:qFormat/>
    <w:rsid w:val="007A1BBE"/>
    <w:pPr>
      <w:spacing w:after="200" w:line="276" w:lineRule="auto"/>
    </w:pPr>
    <w:rPr>
      <w:rFonts w:ascii="Calibri" w:eastAsia="Calibri" w:hAnsi="Calibri" w:cs="Calibri"/>
      <w:i/>
      <w:iCs/>
      <w:color w:val="000000"/>
      <w:sz w:val="22"/>
      <w:szCs w:val="22"/>
    </w:rPr>
  </w:style>
  <w:style w:type="paragraph" w:styleId="af9">
    <w:name w:val="Intense Quote"/>
    <w:basedOn w:val="a"/>
    <w:next w:val="a"/>
    <w:qFormat/>
    <w:rsid w:val="007A1BBE"/>
    <w:pPr>
      <w:pBdr>
        <w:bottom w:val="single" w:sz="4" w:space="4" w:color="4F81BD"/>
      </w:pBdr>
      <w:spacing w:before="200" w:after="280" w:line="276" w:lineRule="auto"/>
      <w:ind w:left="936" w:right="936"/>
    </w:pPr>
    <w:rPr>
      <w:rFonts w:ascii="Calibri" w:eastAsia="Calibri" w:hAnsi="Calibri" w:cs="Calibri"/>
      <w:b/>
      <w:bCs/>
      <w:i/>
      <w:iCs/>
      <w:color w:val="4F81BD"/>
      <w:sz w:val="22"/>
      <w:szCs w:val="22"/>
    </w:rPr>
  </w:style>
  <w:style w:type="paragraph" w:customStyle="1" w:styleId="ConsPlusTitle">
    <w:name w:val="ConsPlusTitle"/>
    <w:uiPriority w:val="99"/>
    <w:qFormat/>
    <w:rsid w:val="007A1BBE"/>
    <w:pPr>
      <w:widowControl w:val="0"/>
    </w:pPr>
    <w:rPr>
      <w:rFonts w:ascii="Arial" w:eastAsia="Times New Roman" w:hAnsi="Arial"/>
      <w:b/>
      <w:bCs/>
      <w:sz w:val="20"/>
      <w:szCs w:val="20"/>
      <w:lang w:bidi="ar-SA"/>
    </w:rPr>
  </w:style>
  <w:style w:type="paragraph" w:customStyle="1" w:styleId="xl64">
    <w:name w:val="xl64"/>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65">
    <w:name w:val="xl65"/>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6">
    <w:name w:val="xl66"/>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rPr>
  </w:style>
  <w:style w:type="paragraph" w:customStyle="1" w:styleId="xl67">
    <w:name w:val="xl6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000000"/>
    </w:rPr>
  </w:style>
  <w:style w:type="paragraph" w:customStyle="1" w:styleId="xl68">
    <w:name w:val="xl68"/>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9">
    <w:name w:val="xl69"/>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0">
    <w:name w:val="xl70"/>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styleId="afa">
    <w:name w:val="List Paragraph"/>
    <w:basedOn w:val="a"/>
    <w:qFormat/>
    <w:rsid w:val="007A1BBE"/>
    <w:pPr>
      <w:ind w:left="720"/>
      <w:contextualSpacing/>
    </w:pPr>
    <w:rPr>
      <w:rFonts w:ascii="Calibri" w:eastAsia="Calibri" w:hAnsi="Calibri" w:cs="Calibri"/>
      <w:sz w:val="22"/>
      <w:szCs w:val="22"/>
    </w:rPr>
  </w:style>
  <w:style w:type="paragraph" w:customStyle="1" w:styleId="ConsPlusNonformat">
    <w:name w:val="ConsPlusNonformat"/>
    <w:qFormat/>
    <w:rsid w:val="007A1BBE"/>
    <w:rPr>
      <w:rFonts w:ascii="Courier New" w:eastAsia="Calibri" w:hAnsi="Courier New" w:cs="Courier New"/>
      <w:sz w:val="20"/>
      <w:szCs w:val="20"/>
      <w:lang w:bidi="ar-SA"/>
    </w:rPr>
  </w:style>
  <w:style w:type="paragraph" w:customStyle="1" w:styleId="ConsPlusCell">
    <w:name w:val="ConsPlusCell"/>
    <w:qFormat/>
    <w:rsid w:val="007A1BBE"/>
    <w:rPr>
      <w:rFonts w:eastAsia="Calibri" w:cs="Times New Roman"/>
      <w:lang w:bidi="ar-SA"/>
    </w:rPr>
  </w:style>
  <w:style w:type="paragraph" w:customStyle="1" w:styleId="xl63">
    <w:name w:val="xl63"/>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71">
    <w:name w:val="xl71"/>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72">
    <w:name w:val="xl72"/>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3">
    <w:name w:val="xl73"/>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xl74">
    <w:name w:val="xl74"/>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FF0000"/>
    </w:rPr>
  </w:style>
  <w:style w:type="paragraph" w:customStyle="1" w:styleId="xl75">
    <w:name w:val="xl7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textAlignment w:val="center"/>
    </w:pPr>
    <w:rPr>
      <w:color w:val="FF0000"/>
    </w:rPr>
  </w:style>
  <w:style w:type="paragraph" w:customStyle="1" w:styleId="xl76">
    <w:name w:val="xl76"/>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23">
    <w:name w:val="Основной текст (2)"/>
    <w:basedOn w:val="a"/>
    <w:qFormat/>
    <w:rsid w:val="007A1BBE"/>
    <w:pPr>
      <w:widowControl w:val="0"/>
      <w:shd w:val="clear" w:color="auto" w:fill="FFFFFF"/>
      <w:spacing w:line="324" w:lineRule="exact"/>
      <w:ind w:hanging="700"/>
    </w:pPr>
    <w:rPr>
      <w:sz w:val="28"/>
      <w:szCs w:val="20"/>
      <w:shd w:val="clear" w:color="auto" w:fill="FFFFFF"/>
    </w:rPr>
  </w:style>
  <w:style w:type="paragraph" w:customStyle="1" w:styleId="15">
    <w:name w:val="Заголовок №1"/>
    <w:basedOn w:val="a"/>
    <w:qFormat/>
    <w:rsid w:val="007A1BBE"/>
    <w:pPr>
      <w:widowControl w:val="0"/>
      <w:shd w:val="clear" w:color="auto" w:fill="FFFFFF"/>
      <w:spacing w:before="540" w:line="324" w:lineRule="exact"/>
    </w:pPr>
    <w:rPr>
      <w:sz w:val="28"/>
      <w:szCs w:val="20"/>
      <w:shd w:val="clear" w:color="auto" w:fill="FFFFFF"/>
    </w:rPr>
  </w:style>
  <w:style w:type="paragraph" w:customStyle="1" w:styleId="30">
    <w:name w:val="Основной текст (3)"/>
    <w:basedOn w:val="a"/>
    <w:qFormat/>
    <w:rsid w:val="007A1BBE"/>
    <w:pPr>
      <w:widowControl w:val="0"/>
      <w:shd w:val="clear" w:color="auto" w:fill="FFFFFF"/>
      <w:spacing w:line="320" w:lineRule="exact"/>
    </w:pPr>
    <w:rPr>
      <w:sz w:val="20"/>
      <w:szCs w:val="20"/>
      <w:shd w:val="clear" w:color="auto" w:fill="FFFFFF"/>
    </w:rPr>
  </w:style>
  <w:style w:type="paragraph" w:customStyle="1" w:styleId="afb">
    <w:name w:val="Нормальный"/>
    <w:qFormat/>
    <w:rsid w:val="007A1BBE"/>
    <w:pPr>
      <w:widowControl w:val="0"/>
    </w:pPr>
    <w:rPr>
      <w:rFonts w:eastAsia="Times New Roman" w:cs="Times New Roman"/>
      <w:color w:val="000000"/>
      <w:lang w:bidi="ar-SA"/>
    </w:rPr>
  </w:style>
  <w:style w:type="paragraph" w:customStyle="1" w:styleId="Eiiey">
    <w:name w:val="Eiiey"/>
    <w:basedOn w:val="a"/>
    <w:qFormat/>
    <w:rsid w:val="007A1BBE"/>
    <w:pPr>
      <w:spacing w:before="240"/>
      <w:ind w:left="547" w:hanging="547"/>
      <w:textAlignment w:val="baseline"/>
    </w:pPr>
    <w:rPr>
      <w:rFonts w:ascii="Courier New" w:hAnsi="Courier New" w:cs="Courier New"/>
    </w:rPr>
  </w:style>
  <w:style w:type="paragraph" w:customStyle="1" w:styleId="xl77">
    <w:name w:val="xl7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customStyle="1" w:styleId="xl78">
    <w:name w:val="xl78"/>
    <w:basedOn w:val="a"/>
    <w:qFormat/>
    <w:rsid w:val="007A1BBE"/>
    <w:pPr>
      <w:shd w:val="clear" w:color="auto" w:fill="FCD5B4"/>
      <w:spacing w:before="280" w:after="280"/>
    </w:pPr>
  </w:style>
  <w:style w:type="paragraph" w:customStyle="1" w:styleId="xl79">
    <w:name w:val="xl79"/>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both"/>
      <w:textAlignment w:val="center"/>
    </w:pPr>
    <w:rPr>
      <w:b/>
      <w:bCs/>
      <w:color w:val="000000"/>
    </w:rPr>
  </w:style>
  <w:style w:type="paragraph" w:customStyle="1" w:styleId="xl80">
    <w:name w:val="xl80"/>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center"/>
      <w:textAlignment w:val="center"/>
    </w:pPr>
    <w:rPr>
      <w:b/>
      <w:bCs/>
      <w:color w:val="000000"/>
    </w:rPr>
  </w:style>
  <w:style w:type="paragraph" w:customStyle="1" w:styleId="xl81">
    <w:name w:val="xl81"/>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right"/>
    </w:pPr>
    <w:rPr>
      <w:b/>
      <w:bCs/>
      <w:color w:val="000000"/>
    </w:rPr>
  </w:style>
  <w:style w:type="paragraph" w:customStyle="1" w:styleId="xl82">
    <w:name w:val="xl82"/>
    <w:basedOn w:val="a"/>
    <w:qFormat/>
    <w:rsid w:val="007A1BBE"/>
    <w:pPr>
      <w:shd w:val="clear" w:color="auto" w:fill="B7DEE8"/>
      <w:spacing w:before="280" w:after="280"/>
    </w:pPr>
  </w:style>
  <w:style w:type="paragraph" w:customStyle="1" w:styleId="xl83">
    <w:name w:val="xl83"/>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both"/>
      <w:textAlignment w:val="center"/>
    </w:pPr>
    <w:rPr>
      <w:b/>
      <w:bCs/>
      <w:color w:val="000000"/>
    </w:rPr>
  </w:style>
  <w:style w:type="paragraph" w:customStyle="1" w:styleId="xl84">
    <w:name w:val="xl84"/>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center"/>
      <w:textAlignment w:val="center"/>
    </w:pPr>
    <w:rPr>
      <w:b/>
      <w:bCs/>
      <w:color w:val="000000"/>
    </w:rPr>
  </w:style>
  <w:style w:type="paragraph" w:customStyle="1" w:styleId="xl85">
    <w:name w:val="xl85"/>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right"/>
    </w:pPr>
    <w:rPr>
      <w:b/>
      <w:bCs/>
      <w:color w:val="000000"/>
    </w:rPr>
  </w:style>
  <w:style w:type="paragraph" w:customStyle="1" w:styleId="xl86">
    <w:name w:val="xl86"/>
    <w:basedOn w:val="a"/>
    <w:qFormat/>
    <w:rsid w:val="007A1BBE"/>
    <w:pPr>
      <w:shd w:val="clear" w:color="auto" w:fill="CCC0DA"/>
      <w:spacing w:before="280" w:after="280"/>
    </w:pPr>
  </w:style>
  <w:style w:type="paragraph" w:customStyle="1" w:styleId="xl87">
    <w:name w:val="xl87"/>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both"/>
      <w:textAlignment w:val="center"/>
    </w:pPr>
    <w:rPr>
      <w:color w:val="000000"/>
    </w:rPr>
  </w:style>
  <w:style w:type="paragraph" w:customStyle="1" w:styleId="xl88">
    <w:name w:val="xl88"/>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center"/>
      <w:textAlignment w:val="center"/>
    </w:pPr>
    <w:rPr>
      <w:color w:val="000000"/>
    </w:rPr>
  </w:style>
  <w:style w:type="paragraph" w:customStyle="1" w:styleId="xl89">
    <w:name w:val="xl89"/>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right"/>
    </w:pPr>
    <w:rPr>
      <w:color w:val="000000"/>
    </w:rPr>
  </w:style>
  <w:style w:type="paragraph" w:customStyle="1" w:styleId="xl90">
    <w:name w:val="xl90"/>
    <w:basedOn w:val="a"/>
    <w:qFormat/>
    <w:rsid w:val="007A1BBE"/>
    <w:pPr>
      <w:shd w:val="clear" w:color="auto" w:fill="D8E4BC"/>
      <w:spacing w:before="280" w:after="280"/>
    </w:pPr>
  </w:style>
  <w:style w:type="paragraph" w:customStyle="1" w:styleId="xl91">
    <w:name w:val="xl91"/>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both"/>
      <w:textAlignment w:val="center"/>
    </w:pPr>
    <w:rPr>
      <w:color w:val="000000"/>
    </w:rPr>
  </w:style>
  <w:style w:type="paragraph" w:customStyle="1" w:styleId="xl92">
    <w:name w:val="xl92"/>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center"/>
      <w:textAlignment w:val="center"/>
    </w:pPr>
    <w:rPr>
      <w:color w:val="000000"/>
    </w:rPr>
  </w:style>
  <w:style w:type="paragraph" w:customStyle="1" w:styleId="xl93">
    <w:name w:val="xl93"/>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right"/>
    </w:pPr>
    <w:rPr>
      <w:color w:val="000000"/>
    </w:rPr>
  </w:style>
  <w:style w:type="paragraph" w:customStyle="1" w:styleId="xl94">
    <w:name w:val="xl94"/>
    <w:basedOn w:val="a"/>
    <w:qFormat/>
    <w:rsid w:val="007A1BBE"/>
    <w:pPr>
      <w:shd w:val="clear" w:color="auto" w:fill="E6B8B7"/>
      <w:spacing w:before="280" w:after="280"/>
    </w:pPr>
  </w:style>
  <w:style w:type="paragraph" w:customStyle="1" w:styleId="xl95">
    <w:name w:val="xl95"/>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96">
    <w:name w:val="xl96"/>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center"/>
      <w:textAlignment w:val="center"/>
    </w:pPr>
    <w:rPr>
      <w:color w:val="000000"/>
    </w:rPr>
  </w:style>
  <w:style w:type="paragraph" w:customStyle="1" w:styleId="xl97">
    <w:name w:val="xl97"/>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right"/>
    </w:pPr>
    <w:rPr>
      <w:color w:val="000000"/>
    </w:rPr>
  </w:style>
  <w:style w:type="paragraph" w:customStyle="1" w:styleId="xl98">
    <w:name w:val="xl98"/>
    <w:basedOn w:val="a"/>
    <w:qFormat/>
    <w:rsid w:val="007A1BBE"/>
    <w:pPr>
      <w:shd w:val="clear" w:color="auto" w:fill="B8CCE4"/>
      <w:spacing w:before="280" w:after="280"/>
    </w:pPr>
  </w:style>
  <w:style w:type="paragraph" w:customStyle="1" w:styleId="xl99">
    <w:name w:val="xl99"/>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100">
    <w:name w:val="xl100"/>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1">
    <w:name w:val="xl101"/>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center"/>
      <w:textAlignment w:val="center"/>
    </w:pPr>
    <w:rPr>
      <w:color w:val="000000"/>
    </w:rPr>
  </w:style>
  <w:style w:type="paragraph" w:customStyle="1" w:styleId="xl102">
    <w:name w:val="xl102"/>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right"/>
    </w:pPr>
    <w:rPr>
      <w:color w:val="000000"/>
    </w:rPr>
  </w:style>
  <w:style w:type="paragraph" w:customStyle="1" w:styleId="xl103">
    <w:name w:val="xl103"/>
    <w:basedOn w:val="a"/>
    <w:qFormat/>
    <w:rsid w:val="007A1BBE"/>
    <w:pPr>
      <w:shd w:val="clear" w:color="auto" w:fill="C4BD97"/>
      <w:spacing w:before="280" w:after="280"/>
    </w:pPr>
  </w:style>
  <w:style w:type="paragraph" w:customStyle="1" w:styleId="xl104">
    <w:name w:val="xl104"/>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5">
    <w:name w:val="xl105"/>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6">
    <w:name w:val="xl106"/>
    <w:basedOn w:val="a"/>
    <w:qFormat/>
    <w:rsid w:val="007A1BBE"/>
    <w:pPr>
      <w:pBdr>
        <w:top w:val="single" w:sz="4" w:space="0" w:color="000000"/>
        <w:bottom w:val="single" w:sz="4" w:space="0" w:color="000000"/>
        <w:right w:val="single" w:sz="4" w:space="0" w:color="000000"/>
      </w:pBdr>
      <w:spacing w:before="280" w:after="280"/>
      <w:jc w:val="center"/>
      <w:textAlignment w:val="center"/>
    </w:pPr>
    <w:rPr>
      <w:i/>
      <w:iCs/>
      <w:color w:val="000000"/>
    </w:rPr>
  </w:style>
  <w:style w:type="paragraph" w:customStyle="1" w:styleId="xl107">
    <w:name w:val="xl107"/>
    <w:basedOn w:val="a"/>
    <w:qFormat/>
    <w:rsid w:val="007A1BBE"/>
    <w:pPr>
      <w:pBdr>
        <w:top w:val="single" w:sz="4" w:space="0" w:color="000000"/>
        <w:bottom w:val="single" w:sz="4" w:space="0" w:color="000000"/>
        <w:right w:val="single" w:sz="4" w:space="0" w:color="000000"/>
      </w:pBdr>
      <w:spacing w:before="280" w:after="280"/>
      <w:jc w:val="right"/>
    </w:pPr>
    <w:rPr>
      <w:i/>
      <w:iCs/>
      <w:color w:val="000000"/>
    </w:rPr>
  </w:style>
  <w:style w:type="paragraph" w:customStyle="1" w:styleId="xl108">
    <w:name w:val="xl108"/>
    <w:basedOn w:val="a"/>
    <w:qFormat/>
    <w:rsid w:val="007A1BBE"/>
    <w:pPr>
      <w:pBdr>
        <w:bottom w:val="single" w:sz="4" w:space="0" w:color="000000"/>
        <w:right w:val="single" w:sz="4" w:space="0" w:color="000000"/>
      </w:pBdr>
      <w:spacing w:before="280" w:after="280"/>
      <w:jc w:val="center"/>
      <w:textAlignment w:val="center"/>
    </w:pPr>
    <w:rPr>
      <w:i/>
      <w:iCs/>
      <w:color w:val="000000"/>
    </w:rPr>
  </w:style>
  <w:style w:type="paragraph" w:customStyle="1" w:styleId="xl109">
    <w:name w:val="xl109"/>
    <w:basedOn w:val="a"/>
    <w:qFormat/>
    <w:rsid w:val="007A1BBE"/>
    <w:pPr>
      <w:pBdr>
        <w:bottom w:val="single" w:sz="4" w:space="0" w:color="000000"/>
        <w:right w:val="single" w:sz="4" w:space="0" w:color="000000"/>
      </w:pBdr>
      <w:spacing w:before="280" w:after="280"/>
      <w:jc w:val="right"/>
    </w:pPr>
    <w:rPr>
      <w:i/>
      <w:iCs/>
      <w:color w:val="000000"/>
    </w:rPr>
  </w:style>
  <w:style w:type="paragraph" w:customStyle="1" w:styleId="xl110">
    <w:name w:val="xl110"/>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1">
    <w:name w:val="xl111"/>
    <w:basedOn w:val="a"/>
    <w:qFormat/>
    <w:rsid w:val="007A1BBE"/>
    <w:pPr>
      <w:pBdr>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2">
    <w:name w:val="xl11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3">
    <w:name w:val="xl113"/>
    <w:basedOn w:val="a"/>
    <w:qFormat/>
    <w:rsid w:val="007A1BBE"/>
    <w:pPr>
      <w:pBdr>
        <w:top w:val="dotted" w:sz="4" w:space="0" w:color="000000"/>
        <w:left w:val="dotted" w:sz="4" w:space="0" w:color="000000"/>
        <w:bottom w:val="dotted" w:sz="4" w:space="0" w:color="000000"/>
        <w:right w:val="dotted"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4">
    <w:name w:val="xl114"/>
    <w:basedOn w:val="a"/>
    <w:qFormat/>
    <w:rsid w:val="007A1BBE"/>
    <w:pPr>
      <w:pBdr>
        <w:top w:val="dotted" w:sz="4" w:space="0" w:color="000000"/>
        <w:left w:val="dotted" w:sz="4" w:space="0" w:color="000000"/>
        <w:bottom w:val="dotted" w:sz="4" w:space="0" w:color="000000"/>
        <w:right w:val="single"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5">
    <w:name w:val="xl11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style>
  <w:style w:type="paragraph" w:customStyle="1" w:styleId="xl116">
    <w:name w:val="xl116"/>
    <w:basedOn w:val="a"/>
    <w:qFormat/>
    <w:rsid w:val="007A1BBE"/>
    <w:pPr>
      <w:pBdr>
        <w:top w:val="single" w:sz="4" w:space="0" w:color="000000"/>
        <w:bottom w:val="single" w:sz="4" w:space="0" w:color="000000"/>
        <w:right w:val="single" w:sz="4" w:space="0" w:color="000000"/>
      </w:pBdr>
      <w:spacing w:before="280" w:after="280"/>
      <w:jc w:val="right"/>
    </w:pPr>
    <w:rPr>
      <w:color w:val="000000"/>
    </w:rPr>
  </w:style>
  <w:style w:type="paragraph" w:customStyle="1" w:styleId="xl117">
    <w:name w:val="xl117"/>
    <w:basedOn w:val="a"/>
    <w:qFormat/>
    <w:rsid w:val="007A1BBE"/>
    <w:pPr>
      <w:pBdr>
        <w:bottom w:val="single" w:sz="4" w:space="0" w:color="000000"/>
        <w:right w:val="single" w:sz="4" w:space="0" w:color="000000"/>
      </w:pBdr>
      <w:spacing w:before="280" w:after="280"/>
      <w:jc w:val="right"/>
    </w:pPr>
    <w:rPr>
      <w:color w:val="000000"/>
    </w:rPr>
  </w:style>
  <w:style w:type="paragraph" w:customStyle="1" w:styleId="xl118">
    <w:name w:val="xl118"/>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9">
    <w:name w:val="xl119"/>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20">
    <w:name w:val="xl120"/>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1">
    <w:name w:val="xl121"/>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2">
    <w:name w:val="xl12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afc">
    <w:name w:val="Содержимое таблицы"/>
    <w:basedOn w:val="a"/>
    <w:qFormat/>
    <w:rsid w:val="007A1BBE"/>
    <w:pPr>
      <w:widowControl w:val="0"/>
      <w:suppressLineNumbers/>
    </w:pPr>
  </w:style>
  <w:style w:type="paragraph" w:customStyle="1" w:styleId="afd">
    <w:name w:val="Заголовок таблицы"/>
    <w:basedOn w:val="afc"/>
    <w:qFormat/>
    <w:rsid w:val="007A1BBE"/>
    <w:pPr>
      <w:jc w:val="center"/>
    </w:pPr>
    <w:rPr>
      <w:b/>
      <w:bCs/>
    </w:rPr>
  </w:style>
  <w:style w:type="paragraph" w:styleId="afe">
    <w:name w:val="header"/>
    <w:basedOn w:val="af3"/>
    <w:uiPriority w:val="99"/>
    <w:qFormat/>
    <w:rsid w:val="00715F4C"/>
  </w:style>
  <w:style w:type="paragraph" w:styleId="aff">
    <w:name w:val="footer"/>
    <w:basedOn w:val="a"/>
    <w:link w:val="16"/>
    <w:uiPriority w:val="99"/>
    <w:unhideWhenUsed/>
    <w:rsid w:val="00E404A2"/>
    <w:pPr>
      <w:tabs>
        <w:tab w:val="center" w:pos="4677"/>
        <w:tab w:val="right" w:pos="9355"/>
      </w:tabs>
    </w:pPr>
  </w:style>
  <w:style w:type="character" w:customStyle="1" w:styleId="16">
    <w:name w:val="Нижний колонтитул Знак1"/>
    <w:basedOn w:val="a0"/>
    <w:link w:val="aff"/>
    <w:uiPriority w:val="99"/>
    <w:rsid w:val="00E404A2"/>
    <w:rPr>
      <w:rFonts w:eastAsia="Times New Roman" w:cs="Times New Roman"/>
      <w:lang w:bidi="ar-SA"/>
    </w:rPr>
  </w:style>
  <w:style w:type="character" w:styleId="aff0">
    <w:name w:val="Hyperlink"/>
    <w:basedOn w:val="a0"/>
    <w:uiPriority w:val="99"/>
    <w:semiHidden/>
    <w:unhideWhenUsed/>
    <w:rsid w:val="00003338"/>
    <w:rPr>
      <w:color w:val="0563C1"/>
      <w:u w:val="single"/>
    </w:rPr>
  </w:style>
  <w:style w:type="character" w:styleId="aff1">
    <w:name w:val="FollowedHyperlink"/>
    <w:basedOn w:val="a0"/>
    <w:uiPriority w:val="99"/>
    <w:semiHidden/>
    <w:unhideWhenUsed/>
    <w:rsid w:val="00003338"/>
    <w:rPr>
      <w:color w:val="954F72"/>
      <w:u w:val="single"/>
    </w:rPr>
  </w:style>
  <w:style w:type="paragraph" w:customStyle="1" w:styleId="msonormal0">
    <w:name w:val="msonormal"/>
    <w:basedOn w:val="a"/>
    <w:rsid w:val="00003338"/>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109906">
      <w:bodyDiv w:val="1"/>
      <w:marLeft w:val="0"/>
      <w:marRight w:val="0"/>
      <w:marTop w:val="0"/>
      <w:marBottom w:val="0"/>
      <w:divBdr>
        <w:top w:val="none" w:sz="0" w:space="0" w:color="auto"/>
        <w:left w:val="none" w:sz="0" w:space="0" w:color="auto"/>
        <w:bottom w:val="none" w:sz="0" w:space="0" w:color="auto"/>
        <w:right w:val="none" w:sz="0" w:space="0" w:color="auto"/>
      </w:divBdr>
    </w:div>
    <w:div w:id="577249268">
      <w:bodyDiv w:val="1"/>
      <w:marLeft w:val="0"/>
      <w:marRight w:val="0"/>
      <w:marTop w:val="0"/>
      <w:marBottom w:val="0"/>
      <w:divBdr>
        <w:top w:val="none" w:sz="0" w:space="0" w:color="auto"/>
        <w:left w:val="none" w:sz="0" w:space="0" w:color="auto"/>
        <w:bottom w:val="none" w:sz="0" w:space="0" w:color="auto"/>
        <w:right w:val="none" w:sz="0" w:space="0" w:color="auto"/>
      </w:divBdr>
    </w:div>
    <w:div w:id="663317144">
      <w:bodyDiv w:val="1"/>
      <w:marLeft w:val="0"/>
      <w:marRight w:val="0"/>
      <w:marTop w:val="0"/>
      <w:marBottom w:val="0"/>
      <w:divBdr>
        <w:top w:val="none" w:sz="0" w:space="0" w:color="auto"/>
        <w:left w:val="none" w:sz="0" w:space="0" w:color="auto"/>
        <w:bottom w:val="none" w:sz="0" w:space="0" w:color="auto"/>
        <w:right w:val="none" w:sz="0" w:space="0" w:color="auto"/>
      </w:divBdr>
    </w:div>
    <w:div w:id="1430199788">
      <w:bodyDiv w:val="1"/>
      <w:marLeft w:val="0"/>
      <w:marRight w:val="0"/>
      <w:marTop w:val="0"/>
      <w:marBottom w:val="0"/>
      <w:divBdr>
        <w:top w:val="none" w:sz="0" w:space="0" w:color="auto"/>
        <w:left w:val="none" w:sz="0" w:space="0" w:color="auto"/>
        <w:bottom w:val="none" w:sz="0" w:space="0" w:color="auto"/>
        <w:right w:val="none" w:sz="0" w:space="0" w:color="auto"/>
      </w:divBdr>
    </w:div>
    <w:div w:id="17984547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0315C-4C86-4675-A470-A2C8F0BE7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Pages>
  <Words>3729</Words>
  <Characters>21261</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Анастасия</dc:creator>
  <cp:keywords>  </cp:keywords>
  <dc:description/>
  <cp:lastModifiedBy>Пользователь Windows</cp:lastModifiedBy>
  <cp:revision>36</cp:revision>
  <cp:lastPrinted>2025-11-14T10:44:00Z</cp:lastPrinted>
  <dcterms:created xsi:type="dcterms:W3CDTF">2024-11-14T07:49:00Z</dcterms:created>
  <dcterms:modified xsi:type="dcterms:W3CDTF">2025-12-15T14:02:00Z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9BB805D54A1D4704B923D68DE04D6311</vt:lpwstr>
  </property>
  <property fmtid="{D5CDD505-2E9C-101B-9397-08002B2CF9AE}" pid="3" name="KSOProductBuildVer">
    <vt:lpwstr>1049-11.2.0.11440</vt:lpwstr>
  </property>
</Properties>
</file>